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5D" w:rsidRPr="00873554" w:rsidRDefault="00873554" w:rsidP="00FE7D5D">
      <w:pPr>
        <w:jc w:val="center"/>
        <w:rPr>
          <w:rFonts w:ascii="Verdana" w:hAnsi="Verdana"/>
          <w:b/>
          <w:sz w:val="40"/>
          <w:szCs w:val="40"/>
        </w:rPr>
      </w:pPr>
      <w:r w:rsidRPr="00873554">
        <w:rPr>
          <w:rFonts w:ascii="Verdana" w:hAnsi="Verdana"/>
          <w:b/>
          <w:sz w:val="40"/>
          <w:szCs w:val="40"/>
        </w:rPr>
        <w:t>Laboratory Hazard Assessment</w:t>
      </w:r>
      <w:r w:rsidR="00164C96">
        <w:rPr>
          <w:rFonts w:ascii="Verdana" w:hAnsi="Verdana"/>
          <w:b/>
          <w:sz w:val="40"/>
          <w:szCs w:val="40"/>
        </w:rPr>
        <w:t xml:space="preserve"> for Chemicals</w:t>
      </w:r>
    </w:p>
    <w:p w:rsidR="00173CD4" w:rsidRDefault="00173CD4" w:rsidP="00173CD4">
      <w:pPr>
        <w:pStyle w:val="Heading2"/>
      </w:pPr>
    </w:p>
    <w:p w:rsidR="00173CD4" w:rsidRPr="00857AE8" w:rsidRDefault="00173CD4" w:rsidP="00173CD4">
      <w:pPr>
        <w:pStyle w:val="Heading2"/>
        <w:rPr>
          <w:rFonts w:asciiTheme="majorHAnsi" w:hAnsiTheme="majorHAnsi"/>
        </w:rPr>
      </w:pPr>
      <w:r w:rsidRPr="00857AE8">
        <w:rPr>
          <w:rFonts w:asciiTheme="majorHAnsi" w:hAnsiTheme="majorHAnsi"/>
        </w:rPr>
        <w:t>Performing the Laboratory Hazard Assessment for Chemicals</w:t>
      </w:r>
    </w:p>
    <w:p w:rsidR="00173CD4" w:rsidRPr="00857AE8" w:rsidRDefault="00173CD4" w:rsidP="00173CD4">
      <w:pPr>
        <w:spacing w:after="120"/>
        <w:rPr>
          <w:rFonts w:asciiTheme="majorHAnsi" w:hAnsiTheme="majorHAnsi"/>
          <w:sz w:val="22"/>
          <w:szCs w:val="22"/>
        </w:rPr>
      </w:pPr>
      <w:r w:rsidRPr="00857AE8">
        <w:rPr>
          <w:rFonts w:asciiTheme="majorHAnsi" w:hAnsiTheme="majorHAnsi"/>
          <w:sz w:val="22"/>
          <w:szCs w:val="22"/>
        </w:rPr>
        <w:t>To perform the assessment, take the following steps:</w:t>
      </w:r>
    </w:p>
    <w:p w:rsidR="00857AE8" w:rsidRPr="00857AE8" w:rsidRDefault="00857AE8" w:rsidP="00173CD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7AE8">
        <w:rPr>
          <w:rFonts w:asciiTheme="majorHAnsi" w:hAnsiTheme="majorHAnsi"/>
        </w:rPr>
        <w:t xml:space="preserve">Familiarize yourself with the hazard categories used in the assessment </w:t>
      </w:r>
      <w:r w:rsidR="00B91E11">
        <w:rPr>
          <w:rFonts w:asciiTheme="majorHAnsi" w:hAnsiTheme="majorHAnsi"/>
        </w:rPr>
        <w:t>(</w:t>
      </w:r>
      <w:r w:rsidRPr="00857AE8">
        <w:rPr>
          <w:rFonts w:asciiTheme="majorHAnsi" w:hAnsiTheme="majorHAnsi"/>
        </w:rPr>
        <w:t xml:space="preserve">see </w:t>
      </w:r>
      <w:r w:rsidRPr="00857AE8">
        <w:rPr>
          <w:rFonts w:asciiTheme="majorHAnsi" w:hAnsiTheme="majorHAnsi"/>
          <w:b/>
        </w:rPr>
        <w:t>Hazard Categories and Risk Levels</w:t>
      </w:r>
      <w:r w:rsidR="00B91E11">
        <w:rPr>
          <w:rFonts w:asciiTheme="majorHAnsi" w:hAnsiTheme="majorHAnsi"/>
          <w:b/>
        </w:rPr>
        <w:t>);</w:t>
      </w:r>
    </w:p>
    <w:p w:rsidR="00173CD4" w:rsidRPr="00857AE8" w:rsidRDefault="00173CD4" w:rsidP="00173CD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7AE8">
        <w:rPr>
          <w:rFonts w:asciiTheme="majorHAnsi" w:hAnsiTheme="majorHAnsi"/>
        </w:rPr>
        <w:t>Identify the hazard categories for each chemical</w:t>
      </w:r>
      <w:r w:rsidR="00857AE8" w:rsidRPr="00857AE8">
        <w:rPr>
          <w:rFonts w:asciiTheme="majorHAnsi" w:hAnsiTheme="majorHAnsi"/>
        </w:rPr>
        <w:t xml:space="preserve"> </w:t>
      </w:r>
      <w:r w:rsidR="00B91E11">
        <w:rPr>
          <w:rFonts w:asciiTheme="majorHAnsi" w:hAnsiTheme="majorHAnsi"/>
        </w:rPr>
        <w:t>(</w:t>
      </w:r>
      <w:r w:rsidRPr="00857AE8">
        <w:rPr>
          <w:rFonts w:asciiTheme="majorHAnsi" w:hAnsiTheme="majorHAnsi"/>
        </w:rPr>
        <w:t xml:space="preserve">see </w:t>
      </w:r>
      <w:r w:rsidRPr="00857AE8">
        <w:rPr>
          <w:rFonts w:asciiTheme="majorHAnsi" w:hAnsiTheme="majorHAnsi"/>
          <w:b/>
        </w:rPr>
        <w:t>Identifying Hazard Categories</w:t>
      </w:r>
      <w:r w:rsidR="00B91E11">
        <w:rPr>
          <w:rFonts w:asciiTheme="majorHAnsi" w:hAnsiTheme="majorHAnsi"/>
          <w:b/>
        </w:rPr>
        <w:t>)</w:t>
      </w:r>
      <w:r w:rsidR="00B91E11">
        <w:rPr>
          <w:rFonts w:asciiTheme="majorHAnsi" w:hAnsiTheme="majorHAnsi"/>
        </w:rPr>
        <w:t>;</w:t>
      </w:r>
    </w:p>
    <w:p w:rsidR="00173CD4" w:rsidRPr="00857AE8" w:rsidRDefault="00173CD4" w:rsidP="00173CD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7AE8">
        <w:rPr>
          <w:rFonts w:asciiTheme="majorHAnsi" w:hAnsiTheme="majorHAnsi"/>
        </w:rPr>
        <w:t xml:space="preserve">Determine the total amount </w:t>
      </w:r>
      <w:r w:rsidR="008A44B2">
        <w:rPr>
          <w:rFonts w:asciiTheme="majorHAnsi" w:hAnsiTheme="majorHAnsi"/>
        </w:rPr>
        <w:t>for</w:t>
      </w:r>
      <w:r w:rsidRPr="00857AE8">
        <w:rPr>
          <w:rFonts w:asciiTheme="majorHAnsi" w:hAnsiTheme="majorHAnsi"/>
        </w:rPr>
        <w:t xml:space="preserve"> each category (sum of </w:t>
      </w:r>
      <w:r w:rsidR="00073401">
        <w:rPr>
          <w:rFonts w:asciiTheme="majorHAnsi" w:hAnsiTheme="majorHAnsi"/>
        </w:rPr>
        <w:t xml:space="preserve">the </w:t>
      </w:r>
      <w:r w:rsidRPr="00857AE8">
        <w:rPr>
          <w:rFonts w:asciiTheme="majorHAnsi" w:hAnsiTheme="majorHAnsi"/>
        </w:rPr>
        <w:t>chemicals falling in that category) in the laboratory</w:t>
      </w:r>
      <w:r w:rsidR="00B91E11">
        <w:rPr>
          <w:rFonts w:asciiTheme="majorHAnsi" w:hAnsiTheme="majorHAnsi"/>
        </w:rPr>
        <w:t>;</w:t>
      </w:r>
    </w:p>
    <w:p w:rsidR="00173CD4" w:rsidRPr="00857AE8" w:rsidRDefault="00173CD4" w:rsidP="00173CD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7AE8">
        <w:rPr>
          <w:rFonts w:asciiTheme="majorHAnsi" w:hAnsiTheme="majorHAnsi"/>
        </w:rPr>
        <w:t xml:space="preserve">Use the table </w:t>
      </w:r>
      <w:r w:rsidR="00857AE8" w:rsidRPr="00857AE8">
        <w:rPr>
          <w:rFonts w:asciiTheme="majorHAnsi" w:hAnsiTheme="majorHAnsi"/>
        </w:rPr>
        <w:t xml:space="preserve">in </w:t>
      </w:r>
      <w:r w:rsidRPr="00857AE8">
        <w:rPr>
          <w:rFonts w:asciiTheme="majorHAnsi" w:hAnsiTheme="majorHAnsi"/>
        </w:rPr>
        <w:t xml:space="preserve"> </w:t>
      </w:r>
      <w:r w:rsidR="00857AE8" w:rsidRPr="00857AE8">
        <w:rPr>
          <w:rFonts w:asciiTheme="majorHAnsi" w:hAnsiTheme="majorHAnsi"/>
          <w:b/>
        </w:rPr>
        <w:t>Hazard Categories and Risk Levels</w:t>
      </w:r>
      <w:r w:rsidR="00857AE8" w:rsidRPr="00857AE8">
        <w:rPr>
          <w:rFonts w:asciiTheme="majorHAnsi" w:hAnsiTheme="majorHAnsi"/>
        </w:rPr>
        <w:t xml:space="preserve"> </w:t>
      </w:r>
      <w:r w:rsidRPr="00857AE8">
        <w:rPr>
          <w:rFonts w:asciiTheme="majorHAnsi" w:hAnsiTheme="majorHAnsi"/>
        </w:rPr>
        <w:t>to find the risk level for that category</w:t>
      </w:r>
      <w:r w:rsidR="00B91E11">
        <w:rPr>
          <w:rFonts w:asciiTheme="majorHAnsi" w:hAnsiTheme="majorHAnsi"/>
        </w:rPr>
        <w:t>;</w:t>
      </w:r>
    </w:p>
    <w:p w:rsidR="00173CD4" w:rsidRPr="00857AE8" w:rsidRDefault="00173CD4" w:rsidP="00173CD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7AE8">
        <w:rPr>
          <w:rFonts w:asciiTheme="majorHAnsi" w:hAnsiTheme="majorHAnsi"/>
        </w:rPr>
        <w:t>Log into the DRS webpage with your Net ID and Active Directory Password</w:t>
      </w:r>
      <w:r w:rsidR="00B91E11">
        <w:rPr>
          <w:rFonts w:asciiTheme="majorHAnsi" w:hAnsiTheme="majorHAnsi"/>
        </w:rPr>
        <w:t>;</w:t>
      </w:r>
      <w:r w:rsidRPr="00857AE8">
        <w:rPr>
          <w:rFonts w:asciiTheme="majorHAnsi" w:hAnsiTheme="majorHAnsi"/>
        </w:rPr>
        <w:t xml:space="preserve"> </w:t>
      </w:r>
    </w:p>
    <w:p w:rsidR="00173CD4" w:rsidRPr="00857AE8" w:rsidRDefault="00173CD4" w:rsidP="00173CD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7AE8">
        <w:rPr>
          <w:rFonts w:asciiTheme="majorHAnsi" w:hAnsiTheme="majorHAnsi"/>
        </w:rPr>
        <w:t>Go to “My Laboratory Info”</w:t>
      </w:r>
      <w:r w:rsidR="00B91E11">
        <w:rPr>
          <w:rFonts w:asciiTheme="majorHAnsi" w:hAnsiTheme="majorHAnsi"/>
        </w:rPr>
        <w:t>,</w:t>
      </w:r>
      <w:r w:rsidRPr="00857AE8">
        <w:rPr>
          <w:rFonts w:asciiTheme="majorHAnsi" w:hAnsiTheme="majorHAnsi"/>
        </w:rPr>
        <w:t xml:space="preserve"> and click on “Hazards”</w:t>
      </w:r>
      <w:r w:rsidR="00B91E11">
        <w:rPr>
          <w:rFonts w:asciiTheme="majorHAnsi" w:hAnsiTheme="majorHAnsi"/>
        </w:rPr>
        <w:t>;</w:t>
      </w:r>
    </w:p>
    <w:p w:rsidR="00173CD4" w:rsidRPr="00857AE8" w:rsidRDefault="00173CD4" w:rsidP="00173CD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7AE8">
        <w:rPr>
          <w:rFonts w:asciiTheme="majorHAnsi" w:hAnsiTheme="majorHAnsi"/>
        </w:rPr>
        <w:t xml:space="preserve">Select the room </w:t>
      </w:r>
      <w:r w:rsidR="00073401">
        <w:rPr>
          <w:rFonts w:asciiTheme="majorHAnsi" w:hAnsiTheme="majorHAnsi"/>
        </w:rPr>
        <w:t xml:space="preserve">for which </w:t>
      </w:r>
      <w:r w:rsidRPr="00857AE8">
        <w:rPr>
          <w:rFonts w:asciiTheme="majorHAnsi" w:hAnsiTheme="majorHAnsi"/>
        </w:rPr>
        <w:t>you want to perform the assessment</w:t>
      </w:r>
      <w:r w:rsidR="00B91E11">
        <w:rPr>
          <w:rFonts w:asciiTheme="majorHAnsi" w:hAnsiTheme="majorHAnsi"/>
        </w:rPr>
        <w:t>,</w:t>
      </w:r>
      <w:r w:rsidRPr="00857AE8">
        <w:rPr>
          <w:rFonts w:asciiTheme="majorHAnsi" w:hAnsiTheme="majorHAnsi"/>
        </w:rPr>
        <w:t xml:space="preserve"> and click the edit symbol on the right</w:t>
      </w:r>
      <w:r w:rsidR="00B91E11">
        <w:rPr>
          <w:rFonts w:asciiTheme="majorHAnsi" w:hAnsiTheme="majorHAnsi"/>
        </w:rPr>
        <w:t>;</w:t>
      </w:r>
    </w:p>
    <w:p w:rsidR="00173CD4" w:rsidRPr="00857AE8" w:rsidRDefault="00173CD4" w:rsidP="00173CD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7AE8">
        <w:rPr>
          <w:rFonts w:asciiTheme="majorHAnsi" w:hAnsiTheme="majorHAnsi"/>
        </w:rPr>
        <w:t>Under “Chemical Hazard Assessment”</w:t>
      </w:r>
      <w:r w:rsidR="00B91E11">
        <w:rPr>
          <w:rFonts w:asciiTheme="majorHAnsi" w:hAnsiTheme="majorHAnsi"/>
        </w:rPr>
        <w:t>,</w:t>
      </w:r>
      <w:r w:rsidRPr="00857AE8">
        <w:rPr>
          <w:rFonts w:asciiTheme="majorHAnsi" w:hAnsiTheme="majorHAnsi"/>
        </w:rPr>
        <w:t xml:space="preserve"> click “yes” or “no” for each category depending on whether</w:t>
      </w:r>
      <w:r w:rsidR="00073401">
        <w:rPr>
          <w:rFonts w:asciiTheme="majorHAnsi" w:hAnsiTheme="majorHAnsi"/>
        </w:rPr>
        <w:t xml:space="preserve"> or not</w:t>
      </w:r>
      <w:r w:rsidRPr="00857AE8">
        <w:rPr>
          <w:rFonts w:asciiTheme="majorHAnsi" w:hAnsiTheme="majorHAnsi"/>
        </w:rPr>
        <w:t xml:space="preserve"> the hazard is present</w:t>
      </w:r>
      <w:r w:rsidR="00073401">
        <w:rPr>
          <w:rFonts w:asciiTheme="majorHAnsi" w:hAnsiTheme="majorHAnsi"/>
        </w:rPr>
        <w:t>,</w:t>
      </w:r>
      <w:r w:rsidRPr="00857AE8">
        <w:rPr>
          <w:rFonts w:asciiTheme="majorHAnsi" w:hAnsiTheme="majorHAnsi"/>
        </w:rPr>
        <w:t xml:space="preserve"> and then select a risk level from the dropdown menu where available</w:t>
      </w:r>
      <w:r w:rsidR="00B91E11">
        <w:rPr>
          <w:rFonts w:asciiTheme="majorHAnsi" w:hAnsiTheme="majorHAnsi"/>
        </w:rPr>
        <w:t>;</w:t>
      </w:r>
    </w:p>
    <w:p w:rsidR="00857AE8" w:rsidRPr="008B4FF4" w:rsidRDefault="00173CD4" w:rsidP="008B4FF4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57AE8">
        <w:rPr>
          <w:rFonts w:asciiTheme="majorHAnsi" w:hAnsiTheme="majorHAnsi"/>
        </w:rPr>
        <w:t>Click “</w:t>
      </w:r>
      <w:r w:rsidR="00073401">
        <w:rPr>
          <w:rFonts w:asciiTheme="majorHAnsi" w:hAnsiTheme="majorHAnsi"/>
        </w:rPr>
        <w:t>S</w:t>
      </w:r>
      <w:r w:rsidRPr="00857AE8">
        <w:rPr>
          <w:rFonts w:asciiTheme="majorHAnsi" w:hAnsiTheme="majorHAnsi"/>
        </w:rPr>
        <w:t>ave” at the right bottom of the screen when the assessment is complete.</w:t>
      </w:r>
    </w:p>
    <w:p w:rsidR="008B4FF4" w:rsidRPr="008B4FF4" w:rsidRDefault="008B4FF4" w:rsidP="008B4FF4">
      <w:pPr>
        <w:rPr>
          <w:rFonts w:asciiTheme="majorHAnsi" w:hAnsiTheme="majorHAnsi"/>
          <w:u w:val="single"/>
        </w:rPr>
      </w:pPr>
      <w:r w:rsidRPr="00857AE8">
        <w:rPr>
          <w:rFonts w:asciiTheme="majorHAnsi" w:hAnsiTheme="majorHAnsi"/>
          <w:sz w:val="22"/>
          <w:szCs w:val="22"/>
        </w:rPr>
        <w:t xml:space="preserve">DRS will perform </w:t>
      </w:r>
      <w:r w:rsidR="002456F2">
        <w:rPr>
          <w:rFonts w:asciiTheme="majorHAnsi" w:hAnsiTheme="majorHAnsi"/>
          <w:sz w:val="22"/>
          <w:szCs w:val="22"/>
        </w:rPr>
        <w:t>the</w:t>
      </w:r>
      <w:r w:rsidRPr="00857AE8">
        <w:rPr>
          <w:rFonts w:asciiTheme="majorHAnsi" w:hAnsiTheme="majorHAnsi"/>
          <w:sz w:val="22"/>
          <w:szCs w:val="22"/>
        </w:rPr>
        <w:t xml:space="preserve"> initial </w:t>
      </w:r>
      <w:r w:rsidR="002456F2">
        <w:rPr>
          <w:rFonts w:asciiTheme="majorHAnsi" w:hAnsiTheme="majorHAnsi"/>
          <w:sz w:val="22"/>
          <w:szCs w:val="22"/>
        </w:rPr>
        <w:t>Laboratory H</w:t>
      </w:r>
      <w:r w:rsidRPr="00857AE8">
        <w:rPr>
          <w:rFonts w:asciiTheme="majorHAnsi" w:hAnsiTheme="majorHAnsi"/>
          <w:sz w:val="22"/>
          <w:szCs w:val="22"/>
        </w:rPr>
        <w:t xml:space="preserve">azard </w:t>
      </w:r>
      <w:r w:rsidR="002456F2">
        <w:rPr>
          <w:rFonts w:asciiTheme="majorHAnsi" w:hAnsiTheme="majorHAnsi"/>
          <w:sz w:val="22"/>
          <w:szCs w:val="22"/>
        </w:rPr>
        <w:t>A</w:t>
      </w:r>
      <w:r w:rsidRPr="00857AE8">
        <w:rPr>
          <w:rFonts w:asciiTheme="majorHAnsi" w:hAnsiTheme="majorHAnsi"/>
          <w:sz w:val="22"/>
          <w:szCs w:val="22"/>
        </w:rPr>
        <w:t xml:space="preserve">ssessment for </w:t>
      </w:r>
      <w:r w:rsidR="002456F2">
        <w:rPr>
          <w:rFonts w:asciiTheme="majorHAnsi" w:hAnsiTheme="majorHAnsi"/>
          <w:sz w:val="22"/>
          <w:szCs w:val="22"/>
        </w:rPr>
        <w:t>C</w:t>
      </w:r>
      <w:r w:rsidRPr="00857AE8">
        <w:rPr>
          <w:rFonts w:asciiTheme="majorHAnsi" w:hAnsiTheme="majorHAnsi"/>
          <w:sz w:val="22"/>
          <w:szCs w:val="22"/>
        </w:rPr>
        <w:t xml:space="preserve">hemicals </w:t>
      </w:r>
      <w:r w:rsidR="002456F2">
        <w:rPr>
          <w:rFonts w:asciiTheme="majorHAnsi" w:hAnsiTheme="majorHAnsi"/>
          <w:sz w:val="22"/>
          <w:szCs w:val="22"/>
        </w:rPr>
        <w:t xml:space="preserve">for </w:t>
      </w:r>
      <w:r w:rsidRPr="00857AE8">
        <w:rPr>
          <w:rFonts w:asciiTheme="majorHAnsi" w:hAnsiTheme="majorHAnsi"/>
          <w:sz w:val="22"/>
          <w:szCs w:val="22"/>
        </w:rPr>
        <w:t xml:space="preserve">laboratory </w:t>
      </w:r>
      <w:r w:rsidR="002456F2">
        <w:rPr>
          <w:rFonts w:asciiTheme="majorHAnsi" w:hAnsiTheme="majorHAnsi"/>
          <w:sz w:val="22"/>
          <w:szCs w:val="22"/>
        </w:rPr>
        <w:t>groups that provide</w:t>
      </w:r>
      <w:r w:rsidRPr="00857AE8">
        <w:rPr>
          <w:rFonts w:asciiTheme="majorHAnsi" w:hAnsiTheme="majorHAnsi"/>
          <w:sz w:val="22"/>
          <w:szCs w:val="22"/>
        </w:rPr>
        <w:t xml:space="preserve"> an inventory</w:t>
      </w:r>
      <w:r w:rsidR="002456F2">
        <w:rPr>
          <w:rFonts w:asciiTheme="majorHAnsi" w:hAnsiTheme="majorHAnsi"/>
          <w:sz w:val="22"/>
          <w:szCs w:val="22"/>
        </w:rPr>
        <w:t xml:space="preserve"> of applicable materials.</w:t>
      </w:r>
      <w:r>
        <w:rPr>
          <w:rFonts w:asciiTheme="majorHAnsi" w:hAnsiTheme="majorHAnsi"/>
          <w:sz w:val="22"/>
          <w:szCs w:val="22"/>
        </w:rPr>
        <w:t xml:space="preserve"> </w:t>
      </w:r>
      <w:r w:rsidR="002456F2">
        <w:rPr>
          <w:rFonts w:asciiTheme="majorHAnsi" w:hAnsiTheme="majorHAnsi"/>
          <w:sz w:val="22"/>
          <w:szCs w:val="22"/>
        </w:rPr>
        <w:t>A</w:t>
      </w:r>
      <w:r w:rsidR="00AD4D4E">
        <w:rPr>
          <w:rFonts w:asciiTheme="majorHAnsi" w:hAnsiTheme="majorHAnsi"/>
          <w:sz w:val="22"/>
          <w:szCs w:val="22"/>
        </w:rPr>
        <w:t xml:space="preserve">n </w:t>
      </w:r>
      <w:hyperlink r:id="rId9" w:history="1">
        <w:r w:rsidR="00AD4D4E" w:rsidRPr="00AD4D4E">
          <w:rPr>
            <w:rStyle w:val="Hyperlink"/>
            <w:rFonts w:asciiTheme="majorHAnsi" w:hAnsiTheme="majorHAnsi"/>
            <w:sz w:val="22"/>
            <w:szCs w:val="22"/>
          </w:rPr>
          <w:t xml:space="preserve">inventory </w:t>
        </w:r>
        <w:r w:rsidRPr="00AD4D4E">
          <w:rPr>
            <w:rStyle w:val="Hyperlink"/>
            <w:rFonts w:asciiTheme="majorHAnsi" w:hAnsiTheme="majorHAnsi"/>
            <w:sz w:val="22"/>
            <w:szCs w:val="22"/>
          </w:rPr>
          <w:t>template</w:t>
        </w:r>
      </w:hyperlink>
      <w:r>
        <w:rPr>
          <w:rFonts w:asciiTheme="majorHAnsi" w:hAnsiTheme="majorHAnsi"/>
          <w:sz w:val="22"/>
          <w:szCs w:val="22"/>
        </w:rPr>
        <w:t xml:space="preserve"> with </w:t>
      </w:r>
      <w:hyperlink r:id="rId10" w:history="1">
        <w:r w:rsidRPr="00AD4D4E">
          <w:rPr>
            <w:rStyle w:val="Hyperlink"/>
            <w:rFonts w:asciiTheme="majorHAnsi" w:hAnsiTheme="majorHAnsi"/>
            <w:sz w:val="22"/>
            <w:szCs w:val="22"/>
          </w:rPr>
          <w:t>instructions</w:t>
        </w:r>
      </w:hyperlink>
      <w:r>
        <w:rPr>
          <w:rFonts w:asciiTheme="majorHAnsi" w:hAnsiTheme="majorHAnsi"/>
          <w:sz w:val="22"/>
          <w:szCs w:val="22"/>
        </w:rPr>
        <w:t xml:space="preserve"> is available</w:t>
      </w:r>
      <w:r w:rsidR="00AD4D4E">
        <w:rPr>
          <w:rFonts w:asciiTheme="majorHAnsi" w:hAnsiTheme="majorHAnsi"/>
          <w:sz w:val="22"/>
          <w:szCs w:val="22"/>
        </w:rPr>
        <w:t xml:space="preserve">.  </w:t>
      </w:r>
    </w:p>
    <w:p w:rsidR="008B4FF4" w:rsidRDefault="008B4FF4" w:rsidP="008B4FF4">
      <w:pPr>
        <w:rPr>
          <w:rFonts w:asciiTheme="majorHAnsi" w:hAnsiTheme="majorHAnsi"/>
          <w:u w:val="single"/>
        </w:rPr>
      </w:pPr>
    </w:p>
    <w:p w:rsidR="008B4FF4" w:rsidRPr="008B4FF4" w:rsidRDefault="008B4FF4" w:rsidP="008B4FF4">
      <w:pPr>
        <w:spacing w:after="240"/>
        <w:rPr>
          <w:rFonts w:asciiTheme="majorHAnsi" w:eastAsiaTheme="minorHAnsi" w:hAnsiTheme="majorHAnsi"/>
          <w:b/>
        </w:rPr>
      </w:pPr>
      <w:r w:rsidRPr="008B4FF4">
        <w:rPr>
          <w:rFonts w:asciiTheme="majorHAnsi" w:eastAsiaTheme="minorHAnsi" w:hAnsiTheme="majorHAnsi"/>
          <w:b/>
        </w:rPr>
        <w:t xml:space="preserve">Updating the </w:t>
      </w:r>
      <w:r>
        <w:rPr>
          <w:rFonts w:asciiTheme="majorHAnsi" w:eastAsiaTheme="minorHAnsi" w:hAnsiTheme="majorHAnsi"/>
          <w:b/>
        </w:rPr>
        <w:t>Assessment</w:t>
      </w:r>
    </w:p>
    <w:p w:rsidR="008B4FF4" w:rsidRDefault="008B4FF4" w:rsidP="008B4FF4">
      <w:pPr>
        <w:rPr>
          <w:rFonts w:asciiTheme="majorHAnsi" w:hAnsiTheme="majorHAnsi"/>
          <w:sz w:val="22"/>
          <w:szCs w:val="22"/>
        </w:rPr>
      </w:pPr>
      <w:r w:rsidRPr="008B4FF4">
        <w:rPr>
          <w:rFonts w:asciiTheme="majorHAnsi" w:hAnsiTheme="majorHAnsi"/>
          <w:sz w:val="22"/>
          <w:szCs w:val="22"/>
        </w:rPr>
        <w:t xml:space="preserve">The PI or laboratory supervisor is responsible for updating the assessment when chemicals are added or removed from the laboratory. </w:t>
      </w:r>
      <w:r>
        <w:rPr>
          <w:rFonts w:asciiTheme="majorHAnsi" w:hAnsiTheme="majorHAnsi"/>
          <w:sz w:val="22"/>
          <w:szCs w:val="22"/>
        </w:rPr>
        <w:t>Evaluating the need for updates should be done at least annually.</w:t>
      </w:r>
      <w:r w:rsidR="008A44B2">
        <w:rPr>
          <w:rFonts w:asciiTheme="majorHAnsi" w:hAnsiTheme="majorHAnsi"/>
          <w:sz w:val="22"/>
          <w:szCs w:val="22"/>
        </w:rPr>
        <w:t xml:space="preserve"> Contact DRS if you require assistance.</w:t>
      </w:r>
    </w:p>
    <w:p w:rsidR="00B91E11" w:rsidRPr="008B4FF4" w:rsidRDefault="00B91E11" w:rsidP="008B4FF4">
      <w:pPr>
        <w:rPr>
          <w:rFonts w:asciiTheme="majorHAnsi" w:hAnsiTheme="majorHAnsi"/>
          <w:sz w:val="22"/>
          <w:szCs w:val="22"/>
        </w:rPr>
      </w:pPr>
    </w:p>
    <w:p w:rsidR="00173CD4" w:rsidRPr="008B4FF4" w:rsidRDefault="008B4FF4" w:rsidP="008B4FF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display of</w:t>
      </w:r>
      <w:r w:rsidR="00173CD4" w:rsidRPr="008B4FF4">
        <w:rPr>
          <w:rFonts w:asciiTheme="majorHAnsi" w:hAnsiTheme="majorHAnsi"/>
          <w:sz w:val="22"/>
          <w:szCs w:val="22"/>
        </w:rPr>
        <w:t xml:space="preserve"> </w:t>
      </w:r>
      <w:r w:rsidRPr="008B4FF4">
        <w:rPr>
          <w:rFonts w:asciiTheme="majorHAnsi" w:hAnsiTheme="majorHAnsi"/>
          <w:sz w:val="22"/>
          <w:szCs w:val="22"/>
        </w:rPr>
        <w:t>biosafety level</w:t>
      </w:r>
      <w:r w:rsidR="00547279">
        <w:rPr>
          <w:rFonts w:asciiTheme="majorHAnsi" w:hAnsiTheme="majorHAnsi"/>
          <w:sz w:val="22"/>
          <w:szCs w:val="22"/>
        </w:rPr>
        <w:t>s</w:t>
      </w:r>
      <w:r w:rsidR="00173CD4" w:rsidRPr="008B4FF4">
        <w:rPr>
          <w:rFonts w:asciiTheme="majorHAnsi" w:hAnsiTheme="majorHAnsi"/>
          <w:sz w:val="22"/>
          <w:szCs w:val="22"/>
        </w:rPr>
        <w:t xml:space="preserve"> and radioactive materials</w:t>
      </w:r>
      <w:r w:rsidR="00857AE8" w:rsidRPr="008B4FF4">
        <w:rPr>
          <w:rFonts w:asciiTheme="majorHAnsi" w:hAnsiTheme="majorHAnsi"/>
          <w:sz w:val="22"/>
          <w:szCs w:val="22"/>
        </w:rPr>
        <w:t xml:space="preserve"> in the Hazard Profile</w:t>
      </w:r>
      <w:r w:rsidR="00173CD4" w:rsidRPr="008B4FF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reflects information from an</w:t>
      </w:r>
      <w:r w:rsidRPr="00B91E11">
        <w:rPr>
          <w:rFonts w:asciiTheme="majorHAnsi" w:hAnsiTheme="majorHAnsi"/>
          <w:sz w:val="22"/>
          <w:szCs w:val="22"/>
        </w:rPr>
        <w:t xml:space="preserve"> </w:t>
      </w:r>
      <w:r w:rsidR="00B91E11" w:rsidRPr="00870C9C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Institutional Biosafety Committee </w:t>
      </w:r>
      <w:r>
        <w:rPr>
          <w:rFonts w:asciiTheme="majorHAnsi" w:hAnsiTheme="majorHAnsi"/>
          <w:sz w:val="22"/>
          <w:szCs w:val="22"/>
        </w:rPr>
        <w:t xml:space="preserve">registration or Radiation </w:t>
      </w:r>
      <w:r w:rsidR="0081733C"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sz w:val="22"/>
          <w:szCs w:val="22"/>
        </w:rPr>
        <w:t xml:space="preserve">ermit. As such, this information can be updated </w:t>
      </w:r>
      <w:r w:rsidR="00B91E11">
        <w:rPr>
          <w:rFonts w:asciiTheme="majorHAnsi" w:hAnsiTheme="majorHAnsi"/>
          <w:sz w:val="22"/>
          <w:szCs w:val="22"/>
        </w:rPr>
        <w:t xml:space="preserve">only </w:t>
      </w:r>
      <w:r>
        <w:rPr>
          <w:rFonts w:asciiTheme="majorHAnsi" w:hAnsiTheme="majorHAnsi"/>
          <w:sz w:val="22"/>
          <w:szCs w:val="22"/>
        </w:rPr>
        <w:t xml:space="preserve">within those applications. </w:t>
      </w:r>
    </w:p>
    <w:p w:rsidR="00857AE8" w:rsidRDefault="00857AE8">
      <w:pPr>
        <w:rPr>
          <w:rFonts w:eastAsiaTheme="minorHAnsi"/>
          <w:b/>
        </w:rPr>
      </w:pPr>
      <w:r>
        <w:br w:type="page"/>
      </w:r>
    </w:p>
    <w:p w:rsidR="00FE7D5D" w:rsidRPr="00857AE8" w:rsidRDefault="00FE7D5D" w:rsidP="00E5194D">
      <w:pPr>
        <w:pStyle w:val="Heading2"/>
        <w:tabs>
          <w:tab w:val="clear" w:pos="6210"/>
        </w:tabs>
        <w:spacing w:before="240"/>
        <w:rPr>
          <w:rFonts w:asciiTheme="majorHAnsi" w:hAnsiTheme="majorHAnsi"/>
        </w:rPr>
      </w:pPr>
      <w:r w:rsidRPr="00857AE8">
        <w:rPr>
          <w:rFonts w:asciiTheme="majorHAnsi" w:hAnsiTheme="majorHAnsi"/>
        </w:rPr>
        <w:lastRenderedPageBreak/>
        <w:t>Hazard Categories</w:t>
      </w:r>
      <w:r w:rsidR="00857AE8" w:rsidRPr="00857AE8">
        <w:rPr>
          <w:rFonts w:asciiTheme="majorHAnsi" w:hAnsiTheme="majorHAnsi"/>
        </w:rPr>
        <w:t xml:space="preserve"> and Risk Levels</w:t>
      </w:r>
    </w:p>
    <w:p w:rsidR="00FE7D5D" w:rsidRPr="00857AE8" w:rsidRDefault="006F68C7" w:rsidP="00E5194D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857AE8">
        <w:rPr>
          <w:rFonts w:asciiTheme="majorHAnsi" w:hAnsiTheme="majorHAnsi"/>
          <w:sz w:val="22"/>
          <w:szCs w:val="22"/>
        </w:rPr>
        <w:t xml:space="preserve">Chemicals are grouped into categories based on their physical </w:t>
      </w:r>
      <w:r w:rsidR="00073401">
        <w:rPr>
          <w:rFonts w:asciiTheme="majorHAnsi" w:hAnsiTheme="majorHAnsi"/>
          <w:sz w:val="22"/>
          <w:szCs w:val="22"/>
        </w:rPr>
        <w:t xml:space="preserve">and health </w:t>
      </w:r>
      <w:r w:rsidRPr="00857AE8">
        <w:rPr>
          <w:rFonts w:asciiTheme="majorHAnsi" w:hAnsiTheme="majorHAnsi"/>
          <w:sz w:val="22"/>
          <w:szCs w:val="22"/>
        </w:rPr>
        <w:t xml:space="preserve">hazards. Most of the </w:t>
      </w:r>
      <w:r w:rsidR="00164C96" w:rsidRPr="00857AE8">
        <w:rPr>
          <w:rFonts w:asciiTheme="majorHAnsi" w:hAnsiTheme="majorHAnsi"/>
          <w:sz w:val="22"/>
          <w:szCs w:val="22"/>
        </w:rPr>
        <w:t xml:space="preserve">chemical </w:t>
      </w:r>
      <w:r w:rsidRPr="00857AE8">
        <w:rPr>
          <w:rFonts w:asciiTheme="majorHAnsi" w:hAnsiTheme="majorHAnsi"/>
          <w:sz w:val="22"/>
          <w:szCs w:val="22"/>
        </w:rPr>
        <w:t xml:space="preserve">categories in the </w:t>
      </w:r>
      <w:r w:rsidR="00FE7D5D" w:rsidRPr="00857AE8">
        <w:rPr>
          <w:rFonts w:asciiTheme="majorHAnsi" w:hAnsiTheme="majorHAnsi"/>
          <w:sz w:val="22"/>
          <w:szCs w:val="22"/>
        </w:rPr>
        <w:t xml:space="preserve">DRS </w:t>
      </w:r>
      <w:r w:rsidR="001552F7" w:rsidRPr="00857AE8">
        <w:rPr>
          <w:rFonts w:asciiTheme="majorHAnsi" w:hAnsiTheme="majorHAnsi"/>
          <w:sz w:val="22"/>
          <w:szCs w:val="22"/>
        </w:rPr>
        <w:t xml:space="preserve">laboratory hazard </w:t>
      </w:r>
      <w:r w:rsidR="003B0D08" w:rsidRPr="00857AE8">
        <w:rPr>
          <w:rFonts w:asciiTheme="majorHAnsi" w:hAnsiTheme="majorHAnsi"/>
          <w:sz w:val="22"/>
          <w:szCs w:val="22"/>
        </w:rPr>
        <w:t xml:space="preserve">profile </w:t>
      </w:r>
      <w:r w:rsidRPr="00857AE8">
        <w:rPr>
          <w:rFonts w:asciiTheme="majorHAnsi" w:hAnsiTheme="majorHAnsi"/>
          <w:sz w:val="22"/>
          <w:szCs w:val="22"/>
        </w:rPr>
        <w:t>are</w:t>
      </w:r>
      <w:r w:rsidR="003B0D08" w:rsidRPr="00857AE8">
        <w:rPr>
          <w:rFonts w:asciiTheme="majorHAnsi" w:hAnsiTheme="majorHAnsi"/>
          <w:sz w:val="22"/>
          <w:szCs w:val="22"/>
        </w:rPr>
        <w:t xml:space="preserve"> based on the Globally Harmonized System (GHS), a new system of chemical hazard classification and labeling that was adopted by OSHA</w:t>
      </w:r>
      <w:r w:rsidR="007856A1">
        <w:rPr>
          <w:rFonts w:asciiTheme="majorHAnsi" w:hAnsiTheme="majorHAnsi"/>
          <w:sz w:val="22"/>
          <w:szCs w:val="22"/>
        </w:rPr>
        <w:t xml:space="preserve">. </w:t>
      </w:r>
      <w:hyperlink r:id="rId11" w:history="1">
        <w:r w:rsidR="007856A1" w:rsidRPr="007856A1">
          <w:rPr>
            <w:rStyle w:val="Hyperlink"/>
            <w:rFonts w:asciiTheme="majorHAnsi" w:hAnsiTheme="majorHAnsi"/>
            <w:sz w:val="22"/>
            <w:szCs w:val="22"/>
          </w:rPr>
          <w:t>S</w:t>
        </w:r>
        <w:r w:rsidR="003B0D08" w:rsidRPr="007856A1">
          <w:rPr>
            <w:rStyle w:val="Hyperlink"/>
            <w:rFonts w:asciiTheme="majorHAnsi" w:hAnsiTheme="majorHAnsi"/>
            <w:sz w:val="22"/>
            <w:szCs w:val="22"/>
          </w:rPr>
          <w:t xml:space="preserve">ee </w:t>
        </w:r>
        <w:bookmarkStart w:id="0" w:name="_GoBack"/>
        <w:bookmarkEnd w:id="0"/>
        <w:r w:rsidR="007856A1" w:rsidRPr="007856A1">
          <w:rPr>
            <w:rStyle w:val="Hyperlink"/>
            <w:rFonts w:asciiTheme="majorHAnsi" w:hAnsiTheme="majorHAnsi"/>
            <w:sz w:val="22"/>
            <w:szCs w:val="22"/>
          </w:rPr>
          <w:t>C</w:t>
        </w:r>
        <w:r w:rsidR="007856A1" w:rsidRPr="007856A1">
          <w:rPr>
            <w:rStyle w:val="Hyperlink"/>
            <w:rFonts w:asciiTheme="majorHAnsi" w:hAnsiTheme="majorHAnsi"/>
            <w:sz w:val="22"/>
            <w:szCs w:val="22"/>
          </w:rPr>
          <w:t>hemical Hazard Classification (GHS)</w:t>
        </w:r>
      </w:hyperlink>
      <w:r w:rsidR="003B0D08" w:rsidRPr="00857AE8">
        <w:rPr>
          <w:rFonts w:asciiTheme="majorHAnsi" w:hAnsiTheme="majorHAnsi"/>
          <w:sz w:val="22"/>
          <w:szCs w:val="22"/>
        </w:rPr>
        <w:t xml:space="preserve"> for more information on GHS hazard categories, SDS organization, and label elements. The hazard </w:t>
      </w:r>
      <w:r w:rsidR="00164C96" w:rsidRPr="00857AE8">
        <w:rPr>
          <w:rFonts w:asciiTheme="majorHAnsi" w:hAnsiTheme="majorHAnsi"/>
          <w:sz w:val="22"/>
          <w:szCs w:val="22"/>
        </w:rPr>
        <w:t>assessment for chemicals</w:t>
      </w:r>
      <w:r w:rsidR="003B0D08" w:rsidRPr="00857AE8">
        <w:rPr>
          <w:rFonts w:asciiTheme="majorHAnsi" w:hAnsiTheme="majorHAnsi"/>
          <w:sz w:val="22"/>
          <w:szCs w:val="22"/>
        </w:rPr>
        <w:t xml:space="preserve"> </w:t>
      </w:r>
      <w:r w:rsidR="00E84A57" w:rsidRPr="00857AE8">
        <w:rPr>
          <w:rFonts w:asciiTheme="majorHAnsi" w:hAnsiTheme="majorHAnsi"/>
          <w:sz w:val="22"/>
          <w:szCs w:val="22"/>
        </w:rPr>
        <w:t xml:space="preserve">focuses on the major </w:t>
      </w:r>
      <w:r w:rsidR="00164C96" w:rsidRPr="00857AE8">
        <w:rPr>
          <w:rFonts w:asciiTheme="majorHAnsi" w:hAnsiTheme="majorHAnsi"/>
          <w:sz w:val="22"/>
          <w:szCs w:val="22"/>
        </w:rPr>
        <w:t xml:space="preserve">chemical </w:t>
      </w:r>
      <w:r w:rsidR="00FE7D5D" w:rsidRPr="00857AE8">
        <w:rPr>
          <w:rFonts w:asciiTheme="majorHAnsi" w:hAnsiTheme="majorHAnsi"/>
          <w:sz w:val="22"/>
          <w:szCs w:val="22"/>
        </w:rPr>
        <w:t xml:space="preserve">hazard categories that are most relevant for establishing safe work practices in a laboratory. </w:t>
      </w:r>
      <w:r w:rsidR="003B0D08" w:rsidRPr="00857AE8">
        <w:rPr>
          <w:rFonts w:asciiTheme="majorHAnsi" w:hAnsiTheme="majorHAnsi"/>
          <w:sz w:val="22"/>
          <w:szCs w:val="22"/>
        </w:rPr>
        <w:t xml:space="preserve">Not all </w:t>
      </w:r>
      <w:r w:rsidR="00FE7D5D" w:rsidRPr="00857AE8">
        <w:rPr>
          <w:rFonts w:asciiTheme="majorHAnsi" w:hAnsiTheme="majorHAnsi"/>
          <w:sz w:val="22"/>
          <w:szCs w:val="22"/>
        </w:rPr>
        <w:t xml:space="preserve">GHS </w:t>
      </w:r>
      <w:r w:rsidR="003B0D08" w:rsidRPr="00857AE8">
        <w:rPr>
          <w:rFonts w:asciiTheme="majorHAnsi" w:hAnsiTheme="majorHAnsi"/>
          <w:sz w:val="22"/>
          <w:szCs w:val="22"/>
        </w:rPr>
        <w:t>hazard categories are captured.</w:t>
      </w:r>
      <w:r w:rsidR="00FE7D5D" w:rsidRPr="00857AE8">
        <w:rPr>
          <w:rFonts w:asciiTheme="majorHAnsi" w:hAnsiTheme="majorHAnsi"/>
          <w:sz w:val="22"/>
          <w:szCs w:val="22"/>
        </w:rPr>
        <w:t xml:space="preserve"> </w:t>
      </w:r>
    </w:p>
    <w:p w:rsidR="00FE7D5D" w:rsidRPr="00857AE8" w:rsidRDefault="00164C96" w:rsidP="00E5194D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857AE8">
        <w:rPr>
          <w:rFonts w:asciiTheme="majorHAnsi" w:hAnsiTheme="majorHAnsi"/>
          <w:sz w:val="22"/>
          <w:szCs w:val="22"/>
        </w:rPr>
        <w:t>The following</w:t>
      </w:r>
      <w:r w:rsidR="00FE7D5D" w:rsidRPr="00857AE8">
        <w:rPr>
          <w:rFonts w:asciiTheme="majorHAnsi" w:hAnsiTheme="majorHAnsi"/>
          <w:sz w:val="22"/>
          <w:szCs w:val="22"/>
        </w:rPr>
        <w:t xml:space="preserve"> GHS categories</w:t>
      </w:r>
      <w:r w:rsidRPr="00857AE8">
        <w:rPr>
          <w:rFonts w:asciiTheme="majorHAnsi" w:hAnsiTheme="majorHAnsi"/>
          <w:sz w:val="22"/>
          <w:szCs w:val="22"/>
        </w:rPr>
        <w:t xml:space="preserve"> are included</w:t>
      </w:r>
      <w:r w:rsidR="00FE7D5D" w:rsidRPr="00857AE8">
        <w:rPr>
          <w:rFonts w:asciiTheme="majorHAnsi" w:hAnsiTheme="majorHAnsi"/>
          <w:sz w:val="22"/>
          <w:szCs w:val="22"/>
        </w:rPr>
        <w:t>: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tabs>
          <w:tab w:val="left" w:pos="6210"/>
        </w:tabs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>Acutely toxic (severe)</w:t>
      </w:r>
      <w:r w:rsidR="00E031AA" w:rsidRPr="00857AE8">
        <w:rPr>
          <w:rFonts w:asciiTheme="majorHAnsi" w:hAnsiTheme="majorHAnsi"/>
        </w:rPr>
        <w:t>;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tabs>
          <w:tab w:val="left" w:pos="6210"/>
        </w:tabs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 xml:space="preserve">Health </w:t>
      </w:r>
      <w:r w:rsidR="000A5FF9" w:rsidRPr="00857AE8">
        <w:rPr>
          <w:rFonts w:asciiTheme="majorHAnsi" w:hAnsiTheme="majorHAnsi"/>
        </w:rPr>
        <w:t>h</w:t>
      </w:r>
      <w:r w:rsidRPr="00857AE8">
        <w:rPr>
          <w:rFonts w:asciiTheme="majorHAnsi" w:hAnsiTheme="majorHAnsi"/>
        </w:rPr>
        <w:t>azard (carcinogens, mutagens, reproductive toxins, target organ toxicity, and respiratory sensitizers)</w:t>
      </w:r>
      <w:r w:rsidR="00E031AA" w:rsidRPr="00857AE8">
        <w:rPr>
          <w:rFonts w:asciiTheme="majorHAnsi" w:hAnsiTheme="majorHAnsi"/>
        </w:rPr>
        <w:t>;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>Corrosives</w:t>
      </w:r>
      <w:r w:rsidR="00E031AA" w:rsidRPr="00857AE8">
        <w:rPr>
          <w:rFonts w:asciiTheme="majorHAnsi" w:hAnsiTheme="majorHAnsi"/>
        </w:rPr>
        <w:t>;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>Flammable liquids</w:t>
      </w:r>
      <w:r w:rsidR="00E031AA" w:rsidRPr="00857AE8">
        <w:rPr>
          <w:rFonts w:asciiTheme="majorHAnsi" w:hAnsiTheme="majorHAnsi"/>
        </w:rPr>
        <w:t>;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tabs>
          <w:tab w:val="left" w:pos="6210"/>
        </w:tabs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>Flammable solids</w:t>
      </w:r>
      <w:r w:rsidR="00E031AA" w:rsidRPr="00857AE8">
        <w:rPr>
          <w:rFonts w:asciiTheme="majorHAnsi" w:hAnsiTheme="majorHAnsi"/>
        </w:rPr>
        <w:t>;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tabs>
          <w:tab w:val="left" w:pos="6210"/>
        </w:tabs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>Oxidizers</w:t>
      </w:r>
      <w:r w:rsidR="00E031AA" w:rsidRPr="00857AE8">
        <w:rPr>
          <w:rFonts w:asciiTheme="majorHAnsi" w:hAnsiTheme="majorHAnsi"/>
        </w:rPr>
        <w:t>;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tabs>
          <w:tab w:val="left" w:pos="6210"/>
        </w:tabs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>Pyrophorics</w:t>
      </w:r>
      <w:r w:rsidR="00E031AA" w:rsidRPr="00857AE8">
        <w:rPr>
          <w:rFonts w:asciiTheme="majorHAnsi" w:hAnsiTheme="majorHAnsi"/>
        </w:rPr>
        <w:t>;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tabs>
          <w:tab w:val="left" w:pos="6210"/>
        </w:tabs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>Water reactives</w:t>
      </w:r>
      <w:r w:rsidR="00E031AA" w:rsidRPr="00857AE8">
        <w:rPr>
          <w:rFonts w:asciiTheme="majorHAnsi" w:hAnsiTheme="majorHAnsi"/>
        </w:rPr>
        <w:t>;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tabs>
          <w:tab w:val="left" w:pos="6210"/>
        </w:tabs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 xml:space="preserve">Explosive </w:t>
      </w:r>
      <w:r w:rsidR="00E031AA" w:rsidRPr="00857AE8">
        <w:rPr>
          <w:rFonts w:asciiTheme="majorHAnsi" w:hAnsiTheme="majorHAnsi"/>
        </w:rPr>
        <w:t>m</w:t>
      </w:r>
      <w:r w:rsidRPr="00857AE8">
        <w:rPr>
          <w:rFonts w:asciiTheme="majorHAnsi" w:hAnsiTheme="majorHAnsi"/>
        </w:rPr>
        <w:t>aterial</w:t>
      </w:r>
      <w:r w:rsidR="00E031AA" w:rsidRPr="00857AE8">
        <w:rPr>
          <w:rFonts w:asciiTheme="majorHAnsi" w:hAnsiTheme="majorHAnsi"/>
        </w:rPr>
        <w:t>;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>Compressed gases (inert, flammable, oxidizing, toxic, pyrophoric)</w:t>
      </w:r>
      <w:r w:rsidR="00E031AA" w:rsidRPr="00857AE8">
        <w:rPr>
          <w:rFonts w:asciiTheme="majorHAnsi" w:hAnsiTheme="majorHAnsi"/>
        </w:rPr>
        <w:t>.</w:t>
      </w:r>
    </w:p>
    <w:p w:rsidR="00FE7D5D" w:rsidRPr="00857AE8" w:rsidRDefault="00FE7D5D" w:rsidP="008E04EC">
      <w:pPr>
        <w:tabs>
          <w:tab w:val="left" w:pos="6210"/>
        </w:tabs>
        <w:spacing w:after="240"/>
        <w:jc w:val="both"/>
        <w:rPr>
          <w:rFonts w:asciiTheme="majorHAnsi" w:hAnsiTheme="majorHAnsi"/>
          <w:sz w:val="22"/>
          <w:szCs w:val="22"/>
        </w:rPr>
      </w:pPr>
      <w:r w:rsidRPr="00857AE8">
        <w:rPr>
          <w:rFonts w:asciiTheme="majorHAnsi" w:hAnsiTheme="majorHAnsi"/>
          <w:sz w:val="22"/>
          <w:szCs w:val="22"/>
        </w:rPr>
        <w:t xml:space="preserve">In addition, </w:t>
      </w:r>
      <w:r w:rsidR="00164C96" w:rsidRPr="00857AE8">
        <w:rPr>
          <w:rFonts w:asciiTheme="majorHAnsi" w:hAnsiTheme="majorHAnsi"/>
          <w:sz w:val="22"/>
          <w:szCs w:val="22"/>
        </w:rPr>
        <w:t>the following</w:t>
      </w:r>
      <w:r w:rsidRPr="00857AE8">
        <w:rPr>
          <w:rFonts w:asciiTheme="majorHAnsi" w:hAnsiTheme="majorHAnsi"/>
          <w:sz w:val="22"/>
          <w:szCs w:val="22"/>
        </w:rPr>
        <w:t xml:space="preserve"> </w:t>
      </w:r>
      <w:r w:rsidR="00164C96" w:rsidRPr="00857AE8">
        <w:rPr>
          <w:rFonts w:asciiTheme="majorHAnsi" w:hAnsiTheme="majorHAnsi"/>
          <w:sz w:val="22"/>
          <w:szCs w:val="22"/>
        </w:rPr>
        <w:t xml:space="preserve">non-GHS chemical </w:t>
      </w:r>
      <w:r w:rsidRPr="00857AE8">
        <w:rPr>
          <w:rFonts w:asciiTheme="majorHAnsi" w:hAnsiTheme="majorHAnsi"/>
          <w:sz w:val="22"/>
          <w:szCs w:val="22"/>
        </w:rPr>
        <w:t xml:space="preserve">hazards </w:t>
      </w:r>
      <w:r w:rsidR="00164C96" w:rsidRPr="00857AE8">
        <w:rPr>
          <w:rFonts w:asciiTheme="majorHAnsi" w:hAnsiTheme="majorHAnsi"/>
          <w:sz w:val="22"/>
          <w:szCs w:val="22"/>
        </w:rPr>
        <w:t>are included</w:t>
      </w:r>
      <w:r w:rsidRPr="00857AE8">
        <w:rPr>
          <w:rFonts w:asciiTheme="majorHAnsi" w:hAnsiTheme="majorHAnsi"/>
          <w:sz w:val="22"/>
          <w:szCs w:val="22"/>
        </w:rPr>
        <w:t>: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>Cryogens</w:t>
      </w:r>
      <w:r w:rsidR="00154607" w:rsidRPr="00857AE8">
        <w:rPr>
          <w:rFonts w:asciiTheme="majorHAnsi" w:hAnsiTheme="majorHAnsi"/>
        </w:rPr>
        <w:t>;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>Nanomaterials</w:t>
      </w:r>
      <w:r w:rsidR="00154607" w:rsidRPr="00857AE8">
        <w:rPr>
          <w:rFonts w:asciiTheme="majorHAnsi" w:hAnsiTheme="majorHAnsi"/>
        </w:rPr>
        <w:t>;</w:t>
      </w:r>
    </w:p>
    <w:p w:rsidR="00FE7D5D" w:rsidRPr="00857AE8" w:rsidRDefault="00FE7D5D" w:rsidP="00FE7D5D">
      <w:pPr>
        <w:pStyle w:val="ListParagraph"/>
        <w:numPr>
          <w:ilvl w:val="0"/>
          <w:numId w:val="3"/>
        </w:numPr>
        <w:ind w:left="540"/>
        <w:jc w:val="both"/>
        <w:rPr>
          <w:rFonts w:asciiTheme="majorHAnsi" w:hAnsiTheme="majorHAnsi"/>
        </w:rPr>
      </w:pPr>
      <w:r w:rsidRPr="00857AE8">
        <w:rPr>
          <w:rFonts w:asciiTheme="majorHAnsi" w:hAnsiTheme="majorHAnsi"/>
        </w:rPr>
        <w:t>Peroxide</w:t>
      </w:r>
      <w:r w:rsidR="00E031AA" w:rsidRPr="00857AE8">
        <w:rPr>
          <w:rFonts w:asciiTheme="majorHAnsi" w:hAnsiTheme="majorHAnsi"/>
        </w:rPr>
        <w:t>-</w:t>
      </w:r>
      <w:r w:rsidRPr="00857AE8">
        <w:rPr>
          <w:rFonts w:asciiTheme="majorHAnsi" w:hAnsiTheme="majorHAnsi"/>
        </w:rPr>
        <w:t>forming chemicals</w:t>
      </w:r>
      <w:r w:rsidR="00E031AA" w:rsidRPr="00857AE8">
        <w:rPr>
          <w:rFonts w:asciiTheme="majorHAnsi" w:hAnsiTheme="majorHAnsi"/>
        </w:rPr>
        <w:t>.</w:t>
      </w:r>
    </w:p>
    <w:p w:rsidR="0013123A" w:rsidRPr="00857AE8" w:rsidRDefault="00010507" w:rsidP="0066162A">
      <w:pPr>
        <w:jc w:val="both"/>
        <w:rPr>
          <w:rFonts w:asciiTheme="majorHAnsi" w:hAnsiTheme="majorHAnsi"/>
          <w:sz w:val="22"/>
          <w:szCs w:val="22"/>
        </w:rPr>
      </w:pPr>
      <w:r w:rsidRPr="00857AE8">
        <w:rPr>
          <w:rFonts w:asciiTheme="majorHAnsi" w:hAnsiTheme="majorHAnsi"/>
          <w:sz w:val="22"/>
          <w:szCs w:val="22"/>
        </w:rPr>
        <w:t xml:space="preserve">Based on the </w:t>
      </w:r>
      <w:r w:rsidR="0004164E" w:rsidRPr="00857AE8">
        <w:rPr>
          <w:rFonts w:asciiTheme="majorHAnsi" w:hAnsiTheme="majorHAnsi"/>
          <w:sz w:val="22"/>
          <w:szCs w:val="22"/>
        </w:rPr>
        <w:t xml:space="preserve">severity of the </w:t>
      </w:r>
      <w:r w:rsidRPr="00857AE8">
        <w:rPr>
          <w:rFonts w:asciiTheme="majorHAnsi" w:hAnsiTheme="majorHAnsi"/>
          <w:sz w:val="22"/>
          <w:szCs w:val="22"/>
        </w:rPr>
        <w:t>hazard and</w:t>
      </w:r>
      <w:r w:rsidR="0004164E" w:rsidRPr="00857AE8">
        <w:rPr>
          <w:rFonts w:asciiTheme="majorHAnsi" w:hAnsiTheme="majorHAnsi"/>
          <w:sz w:val="22"/>
          <w:szCs w:val="22"/>
        </w:rPr>
        <w:t>/or the</w:t>
      </w:r>
      <w:r w:rsidRPr="00857AE8">
        <w:rPr>
          <w:rFonts w:asciiTheme="majorHAnsi" w:hAnsiTheme="majorHAnsi"/>
          <w:sz w:val="22"/>
          <w:szCs w:val="22"/>
        </w:rPr>
        <w:t xml:space="preserve"> amount used</w:t>
      </w:r>
      <w:r w:rsidR="008837F3" w:rsidRPr="00857AE8">
        <w:rPr>
          <w:rFonts w:asciiTheme="majorHAnsi" w:hAnsiTheme="majorHAnsi"/>
          <w:sz w:val="22"/>
          <w:szCs w:val="22"/>
        </w:rPr>
        <w:t xml:space="preserve"> in the laboratory</w:t>
      </w:r>
      <w:r w:rsidRPr="00857AE8">
        <w:rPr>
          <w:rFonts w:asciiTheme="majorHAnsi" w:hAnsiTheme="majorHAnsi"/>
          <w:sz w:val="22"/>
          <w:szCs w:val="22"/>
        </w:rPr>
        <w:t xml:space="preserve">, each </w:t>
      </w:r>
      <w:r w:rsidR="008E04EC" w:rsidRPr="00857AE8">
        <w:rPr>
          <w:rFonts w:asciiTheme="majorHAnsi" w:hAnsiTheme="majorHAnsi"/>
          <w:sz w:val="22"/>
          <w:szCs w:val="22"/>
        </w:rPr>
        <w:t xml:space="preserve">chemical </w:t>
      </w:r>
      <w:r w:rsidRPr="00857AE8">
        <w:rPr>
          <w:rFonts w:asciiTheme="majorHAnsi" w:hAnsiTheme="majorHAnsi"/>
          <w:sz w:val="22"/>
          <w:szCs w:val="22"/>
        </w:rPr>
        <w:t>hazard category is assigned a risk level of low, moderate</w:t>
      </w:r>
      <w:r w:rsidR="00073401">
        <w:rPr>
          <w:rFonts w:asciiTheme="majorHAnsi" w:hAnsiTheme="majorHAnsi"/>
          <w:sz w:val="22"/>
          <w:szCs w:val="22"/>
        </w:rPr>
        <w:t>,</w:t>
      </w:r>
      <w:r w:rsidRPr="00857AE8">
        <w:rPr>
          <w:rFonts w:asciiTheme="majorHAnsi" w:hAnsiTheme="majorHAnsi"/>
          <w:sz w:val="22"/>
          <w:szCs w:val="22"/>
        </w:rPr>
        <w:t xml:space="preserve"> or high</w:t>
      </w:r>
      <w:r w:rsidR="00D009A1" w:rsidRPr="00857AE8">
        <w:rPr>
          <w:rFonts w:asciiTheme="majorHAnsi" w:hAnsiTheme="majorHAnsi"/>
          <w:sz w:val="22"/>
          <w:szCs w:val="22"/>
        </w:rPr>
        <w:t xml:space="preserve">. </w:t>
      </w:r>
      <w:r w:rsidR="00BE3270" w:rsidRPr="00857AE8">
        <w:rPr>
          <w:rFonts w:asciiTheme="majorHAnsi" w:hAnsiTheme="majorHAnsi"/>
          <w:sz w:val="22"/>
          <w:szCs w:val="22"/>
        </w:rPr>
        <w:t xml:space="preserve">The table below </w:t>
      </w:r>
      <w:r w:rsidR="00164C96" w:rsidRPr="00857AE8">
        <w:rPr>
          <w:rFonts w:asciiTheme="majorHAnsi" w:hAnsiTheme="majorHAnsi"/>
          <w:sz w:val="22"/>
          <w:szCs w:val="22"/>
        </w:rPr>
        <w:t>defines</w:t>
      </w:r>
      <w:r w:rsidR="00BE3270" w:rsidRPr="00857AE8">
        <w:rPr>
          <w:rFonts w:asciiTheme="majorHAnsi" w:hAnsiTheme="majorHAnsi"/>
          <w:sz w:val="22"/>
          <w:szCs w:val="22"/>
        </w:rPr>
        <w:t xml:space="preserve"> the risk levels for each category. </w:t>
      </w:r>
      <w:r w:rsidR="00164C96" w:rsidRPr="00857AE8">
        <w:rPr>
          <w:rFonts w:asciiTheme="majorHAnsi" w:hAnsiTheme="majorHAnsi"/>
          <w:sz w:val="22"/>
          <w:szCs w:val="22"/>
        </w:rPr>
        <w:t>Be aware</w:t>
      </w:r>
      <w:r w:rsidR="00BE3270" w:rsidRPr="00857AE8">
        <w:rPr>
          <w:rFonts w:asciiTheme="majorHAnsi" w:hAnsiTheme="majorHAnsi"/>
          <w:sz w:val="22"/>
          <w:szCs w:val="22"/>
        </w:rPr>
        <w:t xml:space="preserve"> that t</w:t>
      </w:r>
      <w:r w:rsidR="00FE032F" w:rsidRPr="00857AE8">
        <w:rPr>
          <w:rFonts w:asciiTheme="majorHAnsi" w:hAnsiTheme="majorHAnsi"/>
          <w:sz w:val="22"/>
          <w:szCs w:val="22"/>
        </w:rPr>
        <w:t>h</w:t>
      </w:r>
      <w:r w:rsidR="00FA76B9" w:rsidRPr="00857AE8">
        <w:rPr>
          <w:rFonts w:asciiTheme="majorHAnsi" w:hAnsiTheme="majorHAnsi"/>
          <w:sz w:val="22"/>
          <w:szCs w:val="22"/>
        </w:rPr>
        <w:t>e</w:t>
      </w:r>
      <w:r w:rsidR="00FE032F" w:rsidRPr="00857AE8">
        <w:rPr>
          <w:rFonts w:asciiTheme="majorHAnsi" w:hAnsiTheme="majorHAnsi"/>
          <w:sz w:val="22"/>
          <w:szCs w:val="22"/>
        </w:rPr>
        <w:t xml:space="preserve"> risk levels indicate an overall assessment </w:t>
      </w:r>
      <w:r w:rsidR="00164C96" w:rsidRPr="00857AE8">
        <w:rPr>
          <w:rFonts w:asciiTheme="majorHAnsi" w:hAnsiTheme="majorHAnsi"/>
          <w:sz w:val="22"/>
          <w:szCs w:val="22"/>
        </w:rPr>
        <w:t>for materials in</w:t>
      </w:r>
      <w:r w:rsidR="00FA76B9" w:rsidRPr="00857AE8">
        <w:rPr>
          <w:rFonts w:asciiTheme="majorHAnsi" w:hAnsiTheme="majorHAnsi"/>
          <w:sz w:val="22"/>
          <w:szCs w:val="22"/>
        </w:rPr>
        <w:t xml:space="preserve"> the laboratory. A “low” risk level</w:t>
      </w:r>
      <w:r w:rsidR="00FE032F" w:rsidRPr="00857AE8">
        <w:rPr>
          <w:rFonts w:asciiTheme="majorHAnsi" w:hAnsiTheme="majorHAnsi"/>
          <w:sz w:val="22"/>
          <w:szCs w:val="22"/>
        </w:rPr>
        <w:t xml:space="preserve"> does NOT mean that </w:t>
      </w:r>
      <w:r w:rsidR="00FE032F" w:rsidRPr="00857AE8">
        <w:rPr>
          <w:rFonts w:asciiTheme="majorHAnsi" w:hAnsiTheme="majorHAnsi"/>
          <w:i/>
          <w:sz w:val="22"/>
          <w:szCs w:val="22"/>
        </w:rPr>
        <w:t>use</w:t>
      </w:r>
      <w:r w:rsidR="00FE032F" w:rsidRPr="00857AE8">
        <w:rPr>
          <w:rFonts w:asciiTheme="majorHAnsi" w:hAnsiTheme="majorHAnsi"/>
          <w:sz w:val="22"/>
          <w:szCs w:val="22"/>
        </w:rPr>
        <w:t xml:space="preserve"> of the chemical cannot pose a risk</w:t>
      </w:r>
      <w:r w:rsidR="00164C96" w:rsidRPr="00857AE8">
        <w:rPr>
          <w:rFonts w:asciiTheme="majorHAnsi" w:hAnsiTheme="majorHAnsi"/>
          <w:sz w:val="22"/>
          <w:szCs w:val="22"/>
        </w:rPr>
        <w:t xml:space="preserve">.  </w:t>
      </w:r>
    </w:p>
    <w:p w:rsidR="0013123A" w:rsidRPr="00857AE8" w:rsidRDefault="0013123A">
      <w:pPr>
        <w:rPr>
          <w:rFonts w:asciiTheme="majorHAnsi" w:hAnsiTheme="majorHAnsi"/>
          <w:sz w:val="22"/>
          <w:szCs w:val="22"/>
        </w:rPr>
      </w:pPr>
      <w:r w:rsidRPr="00857AE8">
        <w:rPr>
          <w:rFonts w:asciiTheme="majorHAnsi" w:hAnsiTheme="majorHAnsi"/>
          <w:sz w:val="22"/>
          <w:szCs w:val="22"/>
        </w:rPr>
        <w:br w:type="page"/>
      </w:r>
    </w:p>
    <w:p w:rsidR="00010507" w:rsidRPr="00F30DA4" w:rsidRDefault="00010507" w:rsidP="0066162A">
      <w:pPr>
        <w:jc w:val="both"/>
        <w:rPr>
          <w:sz w:val="22"/>
          <w:szCs w:val="22"/>
        </w:rPr>
      </w:pPr>
    </w:p>
    <w:p w:rsidR="00FE7D5D" w:rsidRPr="00F30DA4" w:rsidRDefault="00FE7D5D" w:rsidP="00D85EA5">
      <w:pPr>
        <w:jc w:val="center"/>
        <w:rPr>
          <w:b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2448"/>
        <w:gridCol w:w="6479"/>
        <w:gridCol w:w="1873"/>
        <w:gridCol w:w="1873"/>
        <w:gridCol w:w="1867"/>
      </w:tblGrid>
      <w:tr w:rsidR="002079D7" w:rsidRPr="00A33ECB" w:rsidTr="00010507">
        <w:trPr>
          <w:cantSplit/>
          <w:trHeight w:val="341"/>
          <w:tblHeader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CB" w:rsidRPr="00116230" w:rsidRDefault="00116230" w:rsidP="0011623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62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Hazard Category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CB" w:rsidRPr="00A33ECB" w:rsidRDefault="00A33ECB" w:rsidP="003B0D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Definition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6" w:rsidRDefault="00A33ECB" w:rsidP="00131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Risk Level </w:t>
            </w:r>
          </w:p>
          <w:p w:rsidR="00A33ECB" w:rsidRPr="00A33ECB" w:rsidRDefault="00A33ECB" w:rsidP="00131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1836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LOW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6" w:rsidRDefault="00131836" w:rsidP="00A33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Risk Level </w:t>
            </w:r>
          </w:p>
          <w:p w:rsidR="00A33ECB" w:rsidRPr="00A33ECB" w:rsidRDefault="00A33ECB" w:rsidP="00A33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183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16"/>
                <w:szCs w:val="16"/>
              </w:rPr>
              <w:t>MODERATE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36" w:rsidRDefault="00A33ECB" w:rsidP="00131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Risk Level </w:t>
            </w:r>
          </w:p>
          <w:p w:rsidR="00A33ECB" w:rsidRPr="00A33ECB" w:rsidRDefault="00A33ECB" w:rsidP="00131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A05A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HIGH</w:t>
            </w:r>
          </w:p>
        </w:tc>
      </w:tr>
      <w:tr w:rsidR="00124726" w:rsidRPr="00A33ECB" w:rsidTr="00010507">
        <w:trPr>
          <w:cantSplit/>
          <w:trHeight w:val="31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A33ECB" w:rsidRDefault="00124726" w:rsidP="00E031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Acutely Toxic Liquids and Solids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Any substance that can cause minor or serious illness or death on exposure. These substances have a GHS classification of acute toxicity Cat 1-3 and are identified by the skull and crossbones pictogram. *Due to the varying quantities of chemicals and their toxic effects, we do not define the risk level by quantities of acutely toxic chemicals.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FA76B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Storage of Category 3 acute toxins.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FA76B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Storage of Category 1 or 2 acute toxins. </w:t>
            </w:r>
          </w:p>
        </w:tc>
      </w:tr>
      <w:tr w:rsidR="00124726" w:rsidRPr="00A33ECB" w:rsidTr="00010507">
        <w:trPr>
          <w:cantSplit/>
          <w:trHeight w:val="29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26" w:rsidRPr="00A33ECB" w:rsidRDefault="00124726" w:rsidP="0013183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Compressed Gases </w:t>
            </w:r>
            <w:r w:rsidR="00672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nert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Inert gases are non-toxic and non-flammable but pose hazards because they can displace oxygen, are highly pressurized, and can be extremely cold or cryogenic. The placard for non-flammable gas has a green background with white lettering.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Present in the lab? Yes/No</w:t>
            </w:r>
          </w:p>
        </w:tc>
      </w:tr>
      <w:tr w:rsidR="00124726" w:rsidRPr="00A33ECB" w:rsidTr="00010507">
        <w:trPr>
          <w:cantSplit/>
          <w:trHeight w:val="440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Compressed Gases </w:t>
            </w:r>
            <w:r w:rsidR="00672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Flammable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flammable gas is any material that is a gas at 20°C (68°F) or lower and is also ignitable when in a mixture of 13% or less by volume with air, or that has a flammable range with air of at least 12% regardless of lower limit. The placard for flammable gas has a red background with white lettering.</w:t>
            </w:r>
            <w:r w:rsidRPr="001247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Present in the lab? Yes/No</w:t>
            </w:r>
          </w:p>
        </w:tc>
      </w:tr>
      <w:tr w:rsidR="00124726" w:rsidRPr="00A33ECB" w:rsidTr="00010507">
        <w:trPr>
          <w:cantSplit/>
          <w:trHeight w:val="233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Compressed Gases </w:t>
            </w:r>
            <w:r w:rsidR="00672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Oxidizing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Oxidizing gas initiates or promotes combustion of materials, either by catching fire itself or by causing a fire through the release of oxygen or other gases. 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Present in the lab? Yes/No</w:t>
            </w:r>
          </w:p>
        </w:tc>
      </w:tr>
      <w:tr w:rsidR="00124726" w:rsidRPr="00A33ECB" w:rsidTr="00010507">
        <w:trPr>
          <w:cantSplit/>
          <w:trHeight w:val="125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A33ECB" w:rsidRDefault="00124726" w:rsidP="00D6719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Compressed Gases </w:t>
            </w:r>
            <w:r w:rsidR="00507D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Toxic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507D28" w:rsidP="00D6719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Toxic gases are poison</w:t>
            </w:r>
            <w:r w:rsidR="00D671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ous</w:t>
            </w:r>
            <w:r w:rsidRPr="0050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 can cause death.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Present in the lab? Yes/No</w:t>
            </w:r>
          </w:p>
        </w:tc>
      </w:tr>
      <w:tr w:rsidR="00034462" w:rsidRPr="00A33ECB" w:rsidTr="00010507">
        <w:trPr>
          <w:cantSplit/>
          <w:trHeight w:val="1187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62" w:rsidRPr="00A33ECB" w:rsidRDefault="00034462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Corrosives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62" w:rsidRPr="00124726" w:rsidRDefault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Corrosive materials are chemicals that cause visible destruction or irreversible alterations in living tissue by chemical action at the site of contact.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62" w:rsidRDefault="00034462" w:rsidP="003446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Storage of </w:t>
            </w:r>
          </w:p>
          <w:p w:rsidR="00034462" w:rsidRDefault="00034462" w:rsidP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 10 L dilute (&lt;</w:t>
            </w:r>
            <w:r w:rsidR="007C1D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1M) corrosive liquid.</w:t>
            </w:r>
          </w:p>
          <w:p w:rsidR="00034462" w:rsidRDefault="00034462" w:rsidP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&lt; 5 L concentrated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weak corrosive liquid.</w:t>
            </w:r>
          </w:p>
          <w:p w:rsidR="00034462" w:rsidRPr="00124726" w:rsidRDefault="00034462" w:rsidP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&lt;</w:t>
            </w:r>
            <w:r w:rsidR="007C1D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 g of corrosive solids.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62" w:rsidRDefault="00034462" w:rsidP="003446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Storage of </w:t>
            </w:r>
          </w:p>
          <w:p w:rsidR="00034462" w:rsidRDefault="00034462" w:rsidP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10-20 L dilute (&lt;1M) corrosive liquid. </w:t>
            </w:r>
          </w:p>
          <w:p w:rsidR="007C1D0E" w:rsidRDefault="00034462" w:rsidP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5-10 L concentrated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weak 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corrosive liquids.</w:t>
            </w:r>
          </w:p>
          <w:p w:rsidR="00034462" w:rsidRDefault="00034462" w:rsidP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</w:t>
            </w:r>
            <w:r w:rsidR="007C1D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7C1D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 concentrated strong corrosive liquids.</w:t>
            </w:r>
          </w:p>
          <w:p w:rsidR="00034462" w:rsidRPr="00124726" w:rsidRDefault="00034462" w:rsidP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g -1 kg corrosive solids.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62" w:rsidRDefault="00034462" w:rsidP="003446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Storage of</w:t>
            </w:r>
          </w:p>
          <w:p w:rsidR="00034462" w:rsidRDefault="00034462" w:rsidP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&gt; 20 L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dilute (&lt;1M) corrosive liquid. </w:t>
            </w:r>
          </w:p>
          <w:p w:rsidR="00034462" w:rsidRDefault="00034462" w:rsidP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</w:t>
            </w:r>
            <w:r w:rsidR="007C1D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L concentrated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weak corrosive liquid.</w:t>
            </w:r>
          </w:p>
          <w:p w:rsidR="00034462" w:rsidRDefault="00FA76B9" w:rsidP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6B9"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 w:rsidR="007C1D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34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7C1D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34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 strong corrosive liquids. </w:t>
            </w:r>
          </w:p>
          <w:p w:rsidR="00034462" w:rsidRPr="00124726" w:rsidRDefault="00034462" w:rsidP="00034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</w:t>
            </w:r>
            <w:r w:rsidR="007C1D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kg of corrosive solid.</w:t>
            </w:r>
          </w:p>
        </w:tc>
      </w:tr>
      <w:tr w:rsidR="00124726" w:rsidRPr="00A33ECB" w:rsidTr="00010507">
        <w:trPr>
          <w:cantSplit/>
          <w:trHeight w:val="872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Cryogens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8973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 w:rsidR="008973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terials at ultra-low temperatures (&lt; -73.3 °C) are considered cryogenic. Hazards include freezing of tissue, asphyxiation, toxicity, high pressure gas hazards, flammability, and explosion hazards. 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Storage of small quantities (&lt;5 L) of cryogens in well-ventilated areas.  Examples: 1 gallon bucket use of dry ice.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E031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Storage of moderate quantities (5-20 L) of cryogens in well ventilated areas. Examples: Use of a 10 L dewar of liquid nitrogen.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E031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Storage of cryogens in excess of 20 L. Storage of cryogens that are toxic, highly flamma</w:t>
            </w:r>
            <w:r w:rsidRPr="00A010DE">
              <w:rPr>
                <w:rFonts w:ascii="Times New Roman" w:hAnsi="Times New Roman" w:cs="Times New Roman"/>
                <w:sz w:val="16"/>
                <w:szCs w:val="16"/>
              </w:rPr>
              <w:t xml:space="preserve">ble, 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 oxidizers. Examples:  se of liquid oxygen.</w:t>
            </w:r>
          </w:p>
        </w:tc>
      </w:tr>
      <w:tr w:rsidR="002079D7" w:rsidRPr="00A33ECB" w:rsidTr="00010507">
        <w:trPr>
          <w:cantSplit/>
          <w:trHeight w:val="119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Explosive Materials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26" w:rsidRPr="00F30DA4" w:rsidRDefault="00124726" w:rsidP="00C850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DA4">
              <w:rPr>
                <w:rFonts w:ascii="Times New Roman" w:hAnsi="Times New Roman" w:cs="Times New Roman"/>
                <w:sz w:val="16"/>
                <w:szCs w:val="16"/>
              </w:rPr>
              <w:t>Explosive substances are solids or liquids (or a mixture of substances) that are capable by a chemical reaction of producing gas at a temperature and pressure and at a speed to cause damage to the surroundings. Compounds classified as explosive, self-reactive</w:t>
            </w:r>
            <w:r w:rsidR="00E031AA" w:rsidRPr="00F30DA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0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6230" w:rsidRPr="00F30DA4">
              <w:rPr>
                <w:rFonts w:ascii="Times New Roman" w:hAnsi="Times New Roman" w:cs="Times New Roman"/>
                <w:sz w:val="16"/>
                <w:szCs w:val="16"/>
              </w:rPr>
              <w:t>or organic peroxides</w:t>
            </w:r>
            <w:r w:rsidRPr="00F30DA4">
              <w:rPr>
                <w:rFonts w:ascii="Times New Roman" w:hAnsi="Times New Roman" w:cs="Times New Roman"/>
                <w:sz w:val="16"/>
                <w:szCs w:val="16"/>
              </w:rPr>
              <w:t xml:space="preserve"> fall under this category.</w:t>
            </w:r>
            <w:r w:rsidR="00C8503A" w:rsidRPr="00F30DA4">
              <w:rPr>
                <w:rFonts w:ascii="Times New Roman" w:hAnsi="Times New Roman" w:cs="Times New Roman"/>
                <w:sz w:val="16"/>
                <w:szCs w:val="16"/>
              </w:rPr>
              <w:t xml:space="preserve"> They are labeled either with the explosive symbol or the flame symbol.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26" w:rsidRPr="00F30DA4" w:rsidRDefault="00E44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DA4">
              <w:rPr>
                <w:rFonts w:ascii="Times New Roman" w:hAnsi="Times New Roman" w:cs="Times New Roman"/>
                <w:sz w:val="16"/>
                <w:szCs w:val="16"/>
              </w:rPr>
              <w:t>Chemicals that can be explosive in their pure form but that are shipped and stored in a stabilized form (e.g. wetted) and that are NOT labeled with the explosive symbol</w:t>
            </w:r>
            <w:r w:rsidR="00145AEC" w:rsidRPr="00F30DA4">
              <w:rPr>
                <w:rFonts w:ascii="Times New Roman" w:hAnsi="Times New Roman" w:cs="Times New Roman"/>
                <w:sz w:val="16"/>
                <w:szCs w:val="16"/>
              </w:rPr>
              <w:t xml:space="preserve"> on the container</w:t>
            </w:r>
            <w:r w:rsidR="00C8612E" w:rsidRPr="00F30D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26" w:rsidRPr="00F30DA4" w:rsidRDefault="00145AEC" w:rsidP="00145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DA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124726" w:rsidRPr="00F30DA4">
              <w:rPr>
                <w:rFonts w:ascii="Times New Roman" w:hAnsi="Times New Roman" w:cs="Times New Roman"/>
                <w:sz w:val="16"/>
                <w:szCs w:val="16"/>
              </w:rPr>
              <w:t xml:space="preserve">torage </w:t>
            </w:r>
            <w:r w:rsidRPr="00F30DA4"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="00124726" w:rsidRPr="00F30DA4">
              <w:rPr>
                <w:rFonts w:ascii="Times New Roman" w:hAnsi="Times New Roman" w:cs="Times New Roman"/>
                <w:sz w:val="16"/>
                <w:szCs w:val="16"/>
              </w:rPr>
              <w:t xml:space="preserve">&lt; 100 g of </w:t>
            </w:r>
            <w:r w:rsidRPr="00F30DA4">
              <w:rPr>
                <w:rFonts w:ascii="Times New Roman" w:hAnsi="Times New Roman" w:cs="Times New Roman"/>
                <w:sz w:val="16"/>
                <w:szCs w:val="16"/>
              </w:rPr>
              <w:t>material labeled with the explosive symbol</w:t>
            </w:r>
            <w:r w:rsidR="00C8612E" w:rsidRPr="00F30D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26" w:rsidRPr="00F30DA4" w:rsidRDefault="00C8612E" w:rsidP="00C861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DA4">
              <w:rPr>
                <w:rFonts w:ascii="Times New Roman" w:hAnsi="Times New Roman" w:cs="Times New Roman"/>
                <w:sz w:val="16"/>
                <w:szCs w:val="16"/>
              </w:rPr>
              <w:t xml:space="preserve">Storage </w:t>
            </w:r>
            <w:r w:rsidR="00124726" w:rsidRPr="00F30DA4">
              <w:rPr>
                <w:rFonts w:ascii="Times New Roman" w:hAnsi="Times New Roman" w:cs="Times New Roman"/>
                <w:sz w:val="16"/>
                <w:szCs w:val="16"/>
              </w:rPr>
              <w:t xml:space="preserve">≥ 100 g of </w:t>
            </w:r>
            <w:r w:rsidRPr="00F30DA4">
              <w:rPr>
                <w:rFonts w:ascii="Times New Roman" w:hAnsi="Times New Roman" w:cs="Times New Roman"/>
                <w:sz w:val="16"/>
                <w:szCs w:val="16"/>
              </w:rPr>
              <w:t xml:space="preserve">material labeled with the </w:t>
            </w:r>
            <w:r w:rsidR="00124726" w:rsidRPr="00F30DA4">
              <w:rPr>
                <w:rFonts w:ascii="Times New Roman" w:hAnsi="Times New Roman" w:cs="Times New Roman"/>
                <w:sz w:val="16"/>
                <w:szCs w:val="16"/>
              </w:rPr>
              <w:t xml:space="preserve">explosive </w:t>
            </w:r>
            <w:r w:rsidRPr="00F30DA4">
              <w:rPr>
                <w:rFonts w:ascii="Times New Roman" w:hAnsi="Times New Roman" w:cs="Times New Roman"/>
                <w:sz w:val="16"/>
                <w:szCs w:val="16"/>
              </w:rPr>
              <w:t>symbol.</w:t>
            </w:r>
          </w:p>
        </w:tc>
      </w:tr>
      <w:tr w:rsidR="00124726" w:rsidRPr="00A33ECB" w:rsidTr="00010507">
        <w:trPr>
          <w:cantSplit/>
          <w:trHeight w:val="332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Flammable Liquids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E031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Flammable liquids have a flashp</w:t>
            </w:r>
            <w:r w:rsidR="001206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oint equal to or less than 200 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°F. Most solvents are flammable and can cause irritation and defatting when in contact with skin. Inhalation of vapors can cause dizziness and a headache. Note: the low, moderate, and high storage quantities are based on a conservative interpretation of NFPA 45. If you use large quantities of flammable liquids</w:t>
            </w:r>
            <w:r w:rsidRPr="00A010D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contact DRS for clarification.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726" w:rsidRPr="00124726" w:rsidRDefault="00124726" w:rsidP="00906C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Storage of flammable liquids less than</w:t>
            </w:r>
            <w:r w:rsidR="00906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L/ 100 ft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906C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Storage of flammable liquids in the range of </w:t>
            </w:r>
            <w:r w:rsidR="00906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2-6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L/100 ft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9C51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Storage of flammable liquids </w:t>
            </w:r>
            <w:r w:rsidR="009C5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</w:t>
            </w:r>
            <w:r w:rsidR="00906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L/100 ft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</w:p>
        </w:tc>
      </w:tr>
      <w:tr w:rsidR="00124726" w:rsidRPr="00A33ECB" w:rsidTr="00010507">
        <w:trPr>
          <w:cantSplit/>
          <w:trHeight w:val="215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Flammable Solids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Flammable solids are solids that are readily</w:t>
            </w:r>
            <w:r w:rsidRPr="001247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combustible or that may cause or contribute to fire through friction. They can be easily ignited by brief contact with an ignition sour</w:t>
            </w:r>
            <w:r w:rsidRPr="002079D7">
              <w:rPr>
                <w:rFonts w:ascii="Times New Roman" w:hAnsi="Times New Roman" w:cs="Times New Roman"/>
                <w:sz w:val="16"/>
                <w:szCs w:val="16"/>
              </w:rPr>
              <w:t xml:space="preserve">ce, 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and the flame spreads rapidly. Pyrophorics and wate</w:t>
            </w:r>
            <w:r w:rsidRPr="001D4844">
              <w:rPr>
                <w:rFonts w:ascii="Times New Roman" w:hAnsi="Times New Roman" w:cs="Times New Roman"/>
                <w:sz w:val="16"/>
                <w:szCs w:val="16"/>
              </w:rPr>
              <w:t>r-r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eactive solids will be cap</w:t>
            </w:r>
            <w:r w:rsidR="002079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tured in separate categories.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Category 2 flammable solids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Storage of less than 500 g of Category 1 flammable solid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Storage of ≥500 g Category 1 flammable solids.</w:t>
            </w:r>
          </w:p>
        </w:tc>
      </w:tr>
      <w:tr w:rsidR="002079D7" w:rsidRPr="00A33ECB" w:rsidTr="00010507">
        <w:trPr>
          <w:cantSplit/>
          <w:trHeight w:val="1610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Health Hazards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11623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Compounds that are identified as mutagens, </w:t>
            </w:r>
            <w:r w:rsidR="00116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carcinogens,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reproductive toxins</w:t>
            </w:r>
            <w:r w:rsidR="00116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target organ toxins, or respiratory sensitizers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Under GHS</w:t>
            </w:r>
            <w:r w:rsidR="00073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these compounds are identified by pictogram 1807 (</w:t>
            </w:r>
            <w:r w:rsidR="006727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the exploding man</w:t>
            </w:r>
            <w:r w:rsidR="006727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Please note that this pictogram also describes other health hazards that do not fall under this category (e.g., aspiration hazar</w:t>
            </w:r>
            <w:r w:rsidRPr="001D4844">
              <w:rPr>
                <w:rFonts w:ascii="Times New Roman" w:hAnsi="Times New Roman" w:cs="Times New Roman"/>
                <w:sz w:val="16"/>
                <w:szCs w:val="16"/>
              </w:rPr>
              <w:t>d).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Compounds classified as carcinogen, mutagen, or reproductive toxin category 2. These compounds are suspected to cause carcinogenic tumors, genetic mutation, or reproductive defects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Compounds classified as carcinogen, mutagen</w:t>
            </w:r>
            <w:r w:rsidRPr="001247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 reproductive toxin category 1a or 1b. These compounds are presumed or known to cause carcinogenic tumors, genetic mutation, or reproductive defects</w:t>
            </w:r>
          </w:p>
        </w:tc>
      </w:tr>
      <w:tr w:rsidR="002079D7" w:rsidRPr="00A33ECB" w:rsidTr="00010507">
        <w:trPr>
          <w:cantSplit/>
          <w:trHeight w:val="1025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Nanomaterials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Engineered materials on the </w:t>
            </w:r>
            <w:proofErr w:type="spellStart"/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nano</w:t>
            </w:r>
            <w:proofErr w:type="spellEnd"/>
            <w:r w:rsidR="000734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scale with any external dimension less than 100 nm that possess properties</w:t>
            </w:r>
            <w:r w:rsidRPr="001247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different than the bulk material. Biological materials such as proteins and DNA do not fall under this category.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Non-destructive use of nanomaterials that are bound in a solid matrix or gel or permanently bonded to a substrate with no potential for release. Example: using a glass slide with metal nano particles on the surface for optoelectronic measurements.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Use of nanomaterials suspended in solvents with potential for release as aerosols. Example: Sonication of an aqueous suspension of quantum dots.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Use of dry nanomaterials in the state of powders and pellets with high potential for release into air. Example: Weighing or transferring dry carbon nano tubes.</w:t>
            </w:r>
          </w:p>
        </w:tc>
      </w:tr>
      <w:tr w:rsidR="00124726" w:rsidRPr="00A33ECB" w:rsidTr="00010507">
        <w:trPr>
          <w:cantSplit/>
          <w:trHeight w:val="242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Oxidizers </w:t>
            </w:r>
            <w:r w:rsidR="00672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Liquids and Solids 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chemical not necessarily combustible that can initiate or promote combustion in other materials, thereby causing fire either of itself or through the release of oxygen or other gases. 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A010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Storage of &lt; 100 g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A010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Storage of 100 </w:t>
            </w:r>
            <w:r w:rsidR="006727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2000 g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 w:rsidP="00A010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Storage of &gt; 2000 g </w:t>
            </w:r>
          </w:p>
        </w:tc>
      </w:tr>
      <w:tr w:rsidR="00124726" w:rsidRPr="00A33ECB" w:rsidTr="00010507">
        <w:trPr>
          <w:cantSplit/>
          <w:trHeight w:val="593"/>
        </w:trPr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Peroxide forming chemicals</w:t>
            </w: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Chemicals susceptible to formation of explosive peroxides over time when exposed to light or oxygen. Depending on the explosion hazard of the peroxides formed, peroxid</w:t>
            </w:r>
            <w:r w:rsidRPr="001D4844">
              <w:rPr>
                <w:rFonts w:ascii="Times New Roman" w:hAnsi="Times New Roman" w:cs="Times New Roman"/>
                <w:sz w:val="16"/>
                <w:szCs w:val="16"/>
              </w:rPr>
              <w:t>e-f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orming chemicals are divided into 3 groups.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Storage of &lt; 100 g listed under Category C.  Storage of &lt; 1000 g listed in Category B.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Storage of 100 g – 1000 g listed in Category C. Storage of  ≥ 1000 g listed in Category B.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Storage of ≥1000 g listed under Category  C. Storage of any amount listed under Category A</w:t>
            </w:r>
          </w:p>
        </w:tc>
      </w:tr>
      <w:tr w:rsidR="00124726" w:rsidRPr="00A33ECB" w:rsidTr="00010507">
        <w:trPr>
          <w:cantSplit/>
          <w:trHeight w:val="107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Pyrophorics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gas, liquid, or solid that ignites spontaneously in air.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Use or storage of any quantity.</w:t>
            </w:r>
          </w:p>
        </w:tc>
      </w:tr>
      <w:tr w:rsidR="00124726" w:rsidRPr="00A33ECB" w:rsidTr="00010507">
        <w:trPr>
          <w:cantSplit/>
          <w:trHeight w:val="179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A33ECB" w:rsidRDefault="00124726" w:rsidP="00A33E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E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Water Reactive</w:t>
            </w:r>
            <w:r w:rsidR="001162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Materials that react, sometimes violently, on contact with wa</w:t>
            </w:r>
            <w:r w:rsidRPr="00A010DE">
              <w:rPr>
                <w:rFonts w:ascii="Times New Roman" w:hAnsi="Times New Roman" w:cs="Times New Roman"/>
                <w:sz w:val="16"/>
                <w:szCs w:val="16"/>
              </w:rPr>
              <w:t xml:space="preserve">ter, 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releasing toxic or flammable gas.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Storage of &lt; 100 g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Storage of 100 </w:t>
            </w:r>
            <w:r w:rsidR="006727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1000 g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26" w:rsidRPr="00124726" w:rsidRDefault="001247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4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Storage of &gt; 1000 g</w:t>
            </w:r>
          </w:p>
        </w:tc>
      </w:tr>
    </w:tbl>
    <w:p w:rsidR="00A33ECB" w:rsidRDefault="00A33ECB" w:rsidP="00BD561F">
      <w:pPr>
        <w:jc w:val="center"/>
        <w:rPr>
          <w:b/>
          <w:u w:val="single"/>
        </w:rPr>
      </w:pPr>
    </w:p>
    <w:p w:rsidR="00857AE8" w:rsidRDefault="00857AE8">
      <w:pPr>
        <w:rPr>
          <w:rFonts w:eastAsiaTheme="minorHAnsi"/>
          <w:b/>
        </w:rPr>
      </w:pPr>
      <w:r>
        <w:br w:type="page"/>
      </w:r>
    </w:p>
    <w:p w:rsidR="00116230" w:rsidRPr="00857AE8" w:rsidRDefault="00116230" w:rsidP="001D4844">
      <w:pPr>
        <w:pStyle w:val="Heading2"/>
        <w:jc w:val="left"/>
        <w:rPr>
          <w:rFonts w:asciiTheme="majorHAnsi" w:hAnsiTheme="majorHAnsi"/>
        </w:rPr>
      </w:pPr>
      <w:r w:rsidRPr="00857AE8">
        <w:rPr>
          <w:rFonts w:asciiTheme="majorHAnsi" w:hAnsiTheme="majorHAnsi"/>
        </w:rPr>
        <w:lastRenderedPageBreak/>
        <w:t>Identifying Hazard Categories</w:t>
      </w:r>
      <w:r w:rsidR="004569F2" w:rsidRPr="00857AE8">
        <w:rPr>
          <w:rFonts w:asciiTheme="majorHAnsi" w:hAnsiTheme="majorHAnsi"/>
        </w:rPr>
        <w:t xml:space="preserve"> </w:t>
      </w:r>
    </w:p>
    <w:p w:rsidR="00116230" w:rsidRPr="00857AE8" w:rsidRDefault="00116230" w:rsidP="00116230">
      <w:pPr>
        <w:pStyle w:val="Heading2"/>
        <w:rPr>
          <w:rFonts w:asciiTheme="majorHAnsi" w:hAnsiTheme="majorHAnsi"/>
          <w:sz w:val="22"/>
          <w:szCs w:val="22"/>
        </w:rPr>
      </w:pPr>
      <w:r w:rsidRPr="00857AE8">
        <w:rPr>
          <w:rFonts w:asciiTheme="majorHAnsi" w:hAnsiTheme="majorHAnsi"/>
          <w:sz w:val="22"/>
          <w:szCs w:val="22"/>
        </w:rPr>
        <w:t>Information on the label</w:t>
      </w:r>
    </w:p>
    <w:p w:rsidR="00116230" w:rsidRPr="00857AE8" w:rsidRDefault="00116230" w:rsidP="00116230">
      <w:pPr>
        <w:jc w:val="both"/>
        <w:rPr>
          <w:rFonts w:asciiTheme="majorHAnsi" w:hAnsiTheme="majorHAnsi"/>
          <w:sz w:val="22"/>
          <w:szCs w:val="22"/>
        </w:rPr>
      </w:pPr>
      <w:r w:rsidRPr="00857AE8">
        <w:rPr>
          <w:rFonts w:asciiTheme="majorHAnsi" w:hAnsiTheme="majorHAnsi"/>
          <w:sz w:val="22"/>
          <w:szCs w:val="22"/>
        </w:rPr>
        <w:t>Labels that comply with GHS provide pictograms, signal words</w:t>
      </w:r>
      <w:r w:rsidR="00D57DA1" w:rsidRPr="00857AE8">
        <w:rPr>
          <w:rFonts w:asciiTheme="majorHAnsi" w:hAnsiTheme="majorHAnsi"/>
          <w:sz w:val="22"/>
          <w:szCs w:val="22"/>
        </w:rPr>
        <w:t>,</w:t>
      </w:r>
      <w:r w:rsidRPr="00857AE8">
        <w:rPr>
          <w:rFonts w:asciiTheme="majorHAnsi" w:hAnsiTheme="majorHAnsi"/>
          <w:sz w:val="22"/>
          <w:szCs w:val="22"/>
        </w:rPr>
        <w:t xml:space="preserve"> and hazard statements that identify most of the hazard categories: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6741"/>
        <w:gridCol w:w="1980"/>
        <w:gridCol w:w="3690"/>
      </w:tblGrid>
      <w:tr w:rsidR="00116230" w:rsidRPr="00857AE8" w:rsidTr="00116230">
        <w:tc>
          <w:tcPr>
            <w:tcW w:w="1269" w:type="dxa"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Pictogram</w:t>
            </w:r>
          </w:p>
        </w:tc>
        <w:tc>
          <w:tcPr>
            <w:tcW w:w="6741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Hazard Statement</w:t>
            </w:r>
          </w:p>
        </w:tc>
        <w:tc>
          <w:tcPr>
            <w:tcW w:w="1980" w:type="dxa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Signal Word</w:t>
            </w: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Hazard Category</w:t>
            </w:r>
          </w:p>
        </w:tc>
      </w:tr>
      <w:tr w:rsidR="00116230" w:rsidRPr="00857AE8" w:rsidTr="00116230">
        <w:tc>
          <w:tcPr>
            <w:tcW w:w="1269" w:type="dxa"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1935CCD2" wp14:editId="3FFF52C8">
                  <wp:extent cx="576072" cy="5760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rosiv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Corrosives</w:t>
            </w:r>
          </w:p>
        </w:tc>
      </w:tr>
      <w:tr w:rsidR="00116230" w:rsidRPr="00857AE8" w:rsidTr="00116230">
        <w:tc>
          <w:tcPr>
            <w:tcW w:w="1269" w:type="dxa"/>
            <w:tcBorders>
              <w:bottom w:val="single" w:sz="4" w:space="0" w:color="auto"/>
            </w:tcBorders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411788DD" wp14:editId="3EEA67B1">
                  <wp:extent cx="576072" cy="57607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idize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Oxidizers</w:t>
            </w:r>
          </w:p>
        </w:tc>
      </w:tr>
      <w:tr w:rsidR="00116230" w:rsidRPr="00857AE8" w:rsidTr="00116230">
        <w:tc>
          <w:tcPr>
            <w:tcW w:w="1269" w:type="dxa"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857AE8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4198D03C" wp14:editId="1E796CF5">
                  <wp:extent cx="576072" cy="57607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v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Explosive Material</w:t>
            </w:r>
            <w:r w:rsidR="00C8612E" w:rsidRPr="00857AE8">
              <w:rPr>
                <w:rFonts w:asciiTheme="majorHAnsi" w:hAnsiTheme="majorHAnsi"/>
                <w:sz w:val="22"/>
                <w:szCs w:val="22"/>
              </w:rPr>
              <w:t xml:space="preserve"> (moderate/high)</w:t>
            </w:r>
          </w:p>
        </w:tc>
      </w:tr>
      <w:tr w:rsidR="00116230" w:rsidRPr="00857AE8" w:rsidTr="00116230">
        <w:trPr>
          <w:trHeight w:val="576"/>
        </w:trPr>
        <w:tc>
          <w:tcPr>
            <w:tcW w:w="1269" w:type="dxa"/>
            <w:vMerge w:val="restart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3355C0B5" wp14:editId="7BCEA117">
                  <wp:extent cx="576072" cy="57607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xi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  <w:t>Fatal</w:t>
            </w: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if swallowed/in contact with skin/if inhaled</w:t>
            </w:r>
          </w:p>
        </w:tc>
        <w:tc>
          <w:tcPr>
            <w:tcW w:w="1980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Acutely toxic (</w:t>
            </w:r>
            <w:r w:rsidRPr="00857AE8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  <w:t>1,2</w:t>
            </w: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116230" w:rsidRPr="00857AE8" w:rsidTr="00116230">
        <w:trPr>
          <w:trHeight w:val="576"/>
        </w:trPr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6741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  <w:t>Toxic</w:t>
            </w: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if swallowed/in contact with skin/if inhaled</w:t>
            </w:r>
          </w:p>
        </w:tc>
        <w:tc>
          <w:tcPr>
            <w:tcW w:w="1980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Acutely toxic (</w:t>
            </w:r>
            <w:r w:rsidRPr="00857AE8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  <w:t>3</w:t>
            </w: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116230" w:rsidRPr="00857AE8" w:rsidTr="00116230">
        <w:trPr>
          <w:trHeight w:val="967"/>
        </w:trPr>
        <w:tc>
          <w:tcPr>
            <w:tcW w:w="1269" w:type="dxa"/>
            <w:vMerge w:val="restart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4106D82E" wp14:editId="3EA03B0C">
                  <wp:extent cx="571500" cy="571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Hazar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May cause allergy or asthma </w:t>
            </w:r>
            <w:r w:rsidR="00597138"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symptoms or breathing difficulty if …</w:t>
            </w:r>
          </w:p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May cause genetic defects</w:t>
            </w:r>
          </w:p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May cause cancer</w:t>
            </w:r>
          </w:p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May damage the fertility or the unborn child</w:t>
            </w:r>
          </w:p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Causes damage to organs</w:t>
            </w:r>
          </w:p>
        </w:tc>
        <w:tc>
          <w:tcPr>
            <w:tcW w:w="1980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57AE8">
              <w:rPr>
                <w:rFonts w:asciiTheme="majorHAnsi" w:hAnsiTheme="majorHAnsi"/>
                <w:b/>
                <w:sz w:val="22"/>
                <w:szCs w:val="22"/>
              </w:rPr>
              <w:t>Danger</w:t>
            </w: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Health Hazard (</w:t>
            </w:r>
            <w:r w:rsidRPr="00857AE8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  <w:t>1</w:t>
            </w: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116230" w:rsidRPr="00857AE8" w:rsidTr="00116230">
        <w:trPr>
          <w:trHeight w:val="967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Suspected of causing genetic defects</w:t>
            </w:r>
          </w:p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Suspected of causing cancer</w:t>
            </w:r>
          </w:p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Suspected of damaging the fertility or the unborn child</w:t>
            </w:r>
          </w:p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May cause damage to organs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57AE8">
              <w:rPr>
                <w:rFonts w:asciiTheme="majorHAnsi" w:hAnsiTheme="majorHAnsi"/>
                <w:b/>
                <w:sz w:val="22"/>
                <w:szCs w:val="22"/>
              </w:rPr>
              <w:t>Warning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Health Hazard (</w:t>
            </w:r>
            <w:r w:rsidRPr="00857AE8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  <w:t>2</w:t>
            </w: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116230" w:rsidRPr="00857AE8" w:rsidTr="00116230">
        <w:trPr>
          <w:trHeight w:val="288"/>
        </w:trPr>
        <w:tc>
          <w:tcPr>
            <w:tcW w:w="1269" w:type="dxa"/>
            <w:vMerge w:val="restart"/>
            <w:tcBorders>
              <w:bottom w:val="single" w:sz="4" w:space="0" w:color="auto"/>
            </w:tcBorders>
            <w:vAlign w:val="center"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857AE8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24060923" wp14:editId="16994C06">
                  <wp:extent cx="576072" cy="57607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mmabl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:rsidR="00116230" w:rsidRPr="00857AE8" w:rsidRDefault="00116230">
            <w:pPr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Extremely/Highly flammable liquid and vapor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6230" w:rsidRPr="00857AE8" w:rsidRDefault="00116230" w:rsidP="00B521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116230" w:rsidRPr="00857AE8" w:rsidRDefault="00116230" w:rsidP="00B521A3">
            <w:pPr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Flammable liquids</w:t>
            </w:r>
          </w:p>
        </w:tc>
      </w:tr>
      <w:tr w:rsidR="00116230" w:rsidRPr="00857AE8" w:rsidTr="00116230">
        <w:trPr>
          <w:trHeight w:val="288"/>
        </w:trPr>
        <w:tc>
          <w:tcPr>
            <w:tcW w:w="1269" w:type="dxa"/>
            <w:vMerge/>
            <w:tcBorders>
              <w:top w:val="single" w:sz="4" w:space="0" w:color="auto"/>
            </w:tcBorders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6741" w:type="dxa"/>
            <w:tcBorders>
              <w:top w:val="single" w:sz="4" w:space="0" w:color="auto"/>
            </w:tcBorders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Catches fire spontaneously if exposed to air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Pyrophorics</w:t>
            </w:r>
          </w:p>
        </w:tc>
      </w:tr>
      <w:tr w:rsidR="00116230" w:rsidRPr="00857AE8" w:rsidTr="00116230">
        <w:trPr>
          <w:trHeight w:val="161"/>
        </w:trPr>
        <w:tc>
          <w:tcPr>
            <w:tcW w:w="1269" w:type="dxa"/>
            <w:vMerge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6741" w:type="dxa"/>
            <w:vAlign w:val="center"/>
          </w:tcPr>
          <w:p w:rsidR="00116230" w:rsidRPr="00857AE8" w:rsidRDefault="00116230" w:rsidP="00E031AA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In contact with water releases flammable gases </w:t>
            </w: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br/>
              <w:t>(which may ignite spontaneously)</w:t>
            </w:r>
          </w:p>
        </w:tc>
        <w:tc>
          <w:tcPr>
            <w:tcW w:w="1980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Water reactives</w:t>
            </w:r>
          </w:p>
        </w:tc>
      </w:tr>
      <w:tr w:rsidR="00116230" w:rsidRPr="00857AE8" w:rsidTr="00116230">
        <w:trPr>
          <w:trHeight w:val="288"/>
        </w:trPr>
        <w:tc>
          <w:tcPr>
            <w:tcW w:w="1269" w:type="dxa"/>
            <w:vMerge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6741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Heating may cause a fire</w:t>
            </w:r>
          </w:p>
        </w:tc>
        <w:tc>
          <w:tcPr>
            <w:tcW w:w="1980" w:type="dxa"/>
            <w:vAlign w:val="center"/>
          </w:tcPr>
          <w:p w:rsidR="00116230" w:rsidRPr="00857AE8" w:rsidRDefault="00116230" w:rsidP="00B521A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Explosive Material</w:t>
            </w:r>
            <w:r w:rsidR="00C8612E"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(low)</w:t>
            </w:r>
          </w:p>
        </w:tc>
      </w:tr>
      <w:tr w:rsidR="00116230" w:rsidRPr="00857AE8" w:rsidTr="00116230">
        <w:trPr>
          <w:trHeight w:val="288"/>
        </w:trPr>
        <w:tc>
          <w:tcPr>
            <w:tcW w:w="1269" w:type="dxa"/>
            <w:vMerge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6741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Self-heating (in large quantities); may catch fire</w:t>
            </w:r>
          </w:p>
        </w:tc>
        <w:tc>
          <w:tcPr>
            <w:tcW w:w="1980" w:type="dxa"/>
            <w:vAlign w:val="center"/>
          </w:tcPr>
          <w:p w:rsidR="00116230" w:rsidRPr="00857AE8" w:rsidRDefault="00116230" w:rsidP="00B521A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Flammable Solid (1) </w:t>
            </w: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br/>
              <w:t>or flammable liquids</w:t>
            </w:r>
          </w:p>
        </w:tc>
      </w:tr>
      <w:tr w:rsidR="00116230" w:rsidRPr="00857AE8" w:rsidTr="00116230">
        <w:trPr>
          <w:trHeight w:val="288"/>
        </w:trPr>
        <w:tc>
          <w:tcPr>
            <w:tcW w:w="1269" w:type="dxa"/>
            <w:vMerge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6741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Flammable solid</w:t>
            </w:r>
          </w:p>
        </w:tc>
        <w:tc>
          <w:tcPr>
            <w:tcW w:w="1980" w:type="dxa"/>
            <w:vAlign w:val="center"/>
          </w:tcPr>
          <w:p w:rsidR="00116230" w:rsidRPr="00857AE8" w:rsidRDefault="00116230" w:rsidP="00B521A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  <w:t>Danger</w:t>
            </w: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Flammable solid (</w:t>
            </w:r>
            <w:r w:rsidRPr="00857AE8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  <w:t>1</w:t>
            </w: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116230" w:rsidRPr="00857AE8" w:rsidTr="00116230">
        <w:trPr>
          <w:trHeight w:val="288"/>
        </w:trPr>
        <w:tc>
          <w:tcPr>
            <w:tcW w:w="1269" w:type="dxa"/>
            <w:vMerge/>
          </w:tcPr>
          <w:p w:rsidR="00116230" w:rsidRPr="00857AE8" w:rsidRDefault="00116230" w:rsidP="00B521A3">
            <w:pPr>
              <w:tabs>
                <w:tab w:val="left" w:pos="6210"/>
              </w:tabs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6741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Flammable solid</w:t>
            </w:r>
          </w:p>
        </w:tc>
        <w:tc>
          <w:tcPr>
            <w:tcW w:w="1980" w:type="dxa"/>
            <w:vAlign w:val="center"/>
          </w:tcPr>
          <w:p w:rsidR="00116230" w:rsidRPr="00857AE8" w:rsidRDefault="00116230" w:rsidP="00B521A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  <w:t>Warning</w:t>
            </w:r>
          </w:p>
        </w:tc>
        <w:tc>
          <w:tcPr>
            <w:tcW w:w="3690" w:type="dxa"/>
            <w:vAlign w:val="center"/>
          </w:tcPr>
          <w:p w:rsidR="00116230" w:rsidRPr="00857AE8" w:rsidRDefault="00116230" w:rsidP="00B521A3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Flammable solid (</w:t>
            </w:r>
            <w:r w:rsidRPr="00857AE8">
              <w:rPr>
                <w:rFonts w:asciiTheme="majorHAnsi" w:eastAsia="Times New Roman" w:hAnsiTheme="majorHAnsi" w:cs="Times New Roman"/>
                <w:b/>
                <w:color w:val="000000"/>
                <w:sz w:val="22"/>
                <w:szCs w:val="22"/>
              </w:rPr>
              <w:t>2</w:t>
            </w:r>
            <w:r w:rsidRPr="00857AE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)</w:t>
            </w:r>
          </w:p>
        </w:tc>
      </w:tr>
    </w:tbl>
    <w:p w:rsidR="00597138" w:rsidRPr="00857AE8" w:rsidRDefault="00597138" w:rsidP="00116230">
      <w:pPr>
        <w:pStyle w:val="Heading2"/>
        <w:rPr>
          <w:rFonts w:asciiTheme="majorHAnsi" w:hAnsiTheme="majorHAnsi"/>
          <w:sz w:val="22"/>
          <w:szCs w:val="22"/>
        </w:rPr>
      </w:pPr>
    </w:p>
    <w:p w:rsidR="00116230" w:rsidRPr="00857AE8" w:rsidRDefault="00116230" w:rsidP="00116230">
      <w:pPr>
        <w:pStyle w:val="Heading2"/>
        <w:rPr>
          <w:rFonts w:asciiTheme="majorHAnsi" w:hAnsiTheme="majorHAnsi"/>
          <w:sz w:val="22"/>
          <w:szCs w:val="22"/>
        </w:rPr>
      </w:pPr>
      <w:r w:rsidRPr="00857AE8">
        <w:rPr>
          <w:rFonts w:asciiTheme="majorHAnsi" w:hAnsiTheme="majorHAnsi"/>
          <w:sz w:val="22"/>
          <w:szCs w:val="22"/>
        </w:rPr>
        <w:lastRenderedPageBreak/>
        <w:t>Information on Safety Data Sheets</w:t>
      </w:r>
      <w:r w:rsidR="00F00983">
        <w:rPr>
          <w:rFonts w:asciiTheme="majorHAnsi" w:hAnsiTheme="majorHAnsi"/>
          <w:sz w:val="22"/>
          <w:szCs w:val="22"/>
        </w:rPr>
        <w:t xml:space="preserve"> (SDS)</w:t>
      </w:r>
    </w:p>
    <w:p w:rsidR="00116230" w:rsidRPr="00857AE8" w:rsidRDefault="00116230" w:rsidP="00116230">
      <w:pPr>
        <w:pStyle w:val="ListParagraph"/>
        <w:ind w:left="0"/>
        <w:rPr>
          <w:rFonts w:asciiTheme="majorHAnsi" w:hAnsiTheme="majorHAnsi"/>
        </w:rPr>
      </w:pPr>
      <w:r w:rsidRPr="00857AE8">
        <w:rPr>
          <w:rFonts w:asciiTheme="majorHAnsi" w:hAnsiTheme="majorHAnsi"/>
        </w:rPr>
        <w:t xml:space="preserve">Some hazard information is not included on the label. </w:t>
      </w:r>
      <w:r w:rsidR="00EA002C" w:rsidRPr="00857AE8">
        <w:rPr>
          <w:rFonts w:asciiTheme="majorHAnsi" w:hAnsiTheme="majorHAnsi"/>
        </w:rPr>
        <w:t xml:space="preserve">The </w:t>
      </w:r>
      <w:r w:rsidRPr="00857AE8">
        <w:rPr>
          <w:rFonts w:asciiTheme="majorHAnsi" w:hAnsiTheme="majorHAnsi"/>
        </w:rPr>
        <w:t>SDS should be consulted as a first resource to identify other hazard categories:</w:t>
      </w:r>
    </w:p>
    <w:p w:rsidR="00116230" w:rsidRPr="00857AE8" w:rsidRDefault="00116230" w:rsidP="009873F3">
      <w:pPr>
        <w:pStyle w:val="ListParagraph"/>
        <w:spacing w:after="120"/>
        <w:ind w:left="0"/>
        <w:contextualSpacing w:val="0"/>
        <w:rPr>
          <w:rFonts w:asciiTheme="majorHAnsi" w:hAnsiTheme="majorHAnsi"/>
        </w:rPr>
      </w:pPr>
      <w:r w:rsidRPr="00857AE8">
        <w:rPr>
          <w:rFonts w:asciiTheme="majorHAnsi" w:hAnsiTheme="majorHAnsi"/>
          <w:b/>
        </w:rPr>
        <w:t>Peroxide</w:t>
      </w:r>
      <w:r w:rsidR="00D57DA1" w:rsidRPr="00857AE8">
        <w:rPr>
          <w:rFonts w:asciiTheme="majorHAnsi" w:hAnsiTheme="majorHAnsi"/>
          <w:b/>
        </w:rPr>
        <w:t>-</w:t>
      </w:r>
      <w:r w:rsidRPr="00857AE8">
        <w:rPr>
          <w:rFonts w:asciiTheme="majorHAnsi" w:hAnsiTheme="majorHAnsi"/>
          <w:b/>
        </w:rPr>
        <w:t>forming chemicals</w:t>
      </w:r>
      <w:r w:rsidRPr="00857AE8">
        <w:rPr>
          <w:rFonts w:asciiTheme="majorHAnsi" w:hAnsiTheme="majorHAnsi"/>
        </w:rPr>
        <w:t xml:space="preserve"> are identified by a statement in section 2 of the SDS.</w:t>
      </w:r>
    </w:p>
    <w:p w:rsidR="009873F3" w:rsidRPr="00857AE8" w:rsidRDefault="009873F3" w:rsidP="00070CB7">
      <w:pPr>
        <w:pStyle w:val="ListParagraph"/>
        <w:spacing w:after="120"/>
        <w:ind w:left="0"/>
        <w:contextualSpacing w:val="0"/>
        <w:rPr>
          <w:rFonts w:asciiTheme="majorHAnsi" w:hAnsiTheme="majorHAnsi"/>
        </w:rPr>
      </w:pPr>
      <w:r w:rsidRPr="00857AE8">
        <w:rPr>
          <w:rFonts w:asciiTheme="majorHAnsi" w:hAnsiTheme="majorHAnsi"/>
        </w:rPr>
        <w:t xml:space="preserve">The category </w:t>
      </w:r>
      <w:r w:rsidRPr="00857AE8">
        <w:rPr>
          <w:rFonts w:asciiTheme="majorHAnsi" w:hAnsiTheme="majorHAnsi"/>
          <w:b/>
        </w:rPr>
        <w:t>Nanomaterials</w:t>
      </w:r>
      <w:r w:rsidRPr="00857AE8">
        <w:rPr>
          <w:rFonts w:asciiTheme="majorHAnsi" w:hAnsiTheme="majorHAnsi"/>
        </w:rPr>
        <w:t xml:space="preserve"> should be selected for solids or suspension with particles with at least one external dimension less than 100 nm.</w:t>
      </w:r>
    </w:p>
    <w:p w:rsidR="00297646" w:rsidRPr="00857AE8" w:rsidRDefault="00297646" w:rsidP="001A0AF6">
      <w:pPr>
        <w:pStyle w:val="ListParagraph"/>
        <w:spacing w:after="120"/>
        <w:ind w:left="0"/>
        <w:contextualSpacing w:val="0"/>
        <w:rPr>
          <w:rFonts w:asciiTheme="majorHAnsi" w:hAnsiTheme="majorHAnsi"/>
        </w:rPr>
      </w:pPr>
      <w:r w:rsidRPr="00857AE8">
        <w:rPr>
          <w:rFonts w:asciiTheme="majorHAnsi" w:hAnsiTheme="majorHAnsi"/>
        </w:rPr>
        <w:t xml:space="preserve">If two different categories are listed for the same </w:t>
      </w:r>
      <w:r w:rsidR="001A0AF6" w:rsidRPr="00857AE8">
        <w:rPr>
          <w:rFonts w:asciiTheme="majorHAnsi" w:hAnsiTheme="majorHAnsi"/>
        </w:rPr>
        <w:t>hazard category</w:t>
      </w:r>
      <w:r w:rsidRPr="00857AE8">
        <w:rPr>
          <w:rFonts w:asciiTheme="majorHAnsi" w:hAnsiTheme="majorHAnsi"/>
        </w:rPr>
        <w:t xml:space="preserve"> (e.g., carcinogen cat 1b and reproductive toxicity cat 2) list the higher hazard (lower number), i.e. select Health Hazard (1) in this case. </w:t>
      </w:r>
    </w:p>
    <w:p w:rsidR="00070CB7" w:rsidRPr="00857AE8" w:rsidRDefault="00070CB7" w:rsidP="009873F3">
      <w:pPr>
        <w:pStyle w:val="ListParagraph"/>
        <w:ind w:left="0"/>
        <w:rPr>
          <w:rFonts w:asciiTheme="majorHAnsi" w:hAnsiTheme="majorHAnsi"/>
        </w:rPr>
      </w:pPr>
      <w:r w:rsidRPr="00857AE8">
        <w:rPr>
          <w:rFonts w:asciiTheme="majorHAnsi" w:hAnsiTheme="majorHAnsi"/>
        </w:rPr>
        <w:t xml:space="preserve">For chemicals that are purchased from vendors that do not </w:t>
      </w:r>
      <w:r w:rsidR="00F00983">
        <w:rPr>
          <w:rFonts w:asciiTheme="majorHAnsi" w:hAnsiTheme="majorHAnsi"/>
        </w:rPr>
        <w:t xml:space="preserve">yet </w:t>
      </w:r>
      <w:r w:rsidRPr="00857AE8">
        <w:rPr>
          <w:rFonts w:asciiTheme="majorHAnsi" w:hAnsiTheme="majorHAnsi"/>
        </w:rPr>
        <w:t xml:space="preserve">provide GHS classification, the SDS for many chemicals can be </w:t>
      </w:r>
      <w:r w:rsidR="00F00983">
        <w:rPr>
          <w:rFonts w:asciiTheme="majorHAnsi" w:hAnsiTheme="majorHAnsi"/>
        </w:rPr>
        <w:t>referenced</w:t>
      </w:r>
      <w:r w:rsidRPr="00857AE8">
        <w:rPr>
          <w:rFonts w:asciiTheme="majorHAnsi" w:hAnsiTheme="majorHAnsi"/>
        </w:rPr>
        <w:t xml:space="preserve"> at Sigma-Aldrich. The hazard categories are found in section 2. </w:t>
      </w:r>
      <w:r w:rsidR="0005445F" w:rsidRPr="00857AE8">
        <w:rPr>
          <w:rFonts w:asciiTheme="majorHAnsi" w:hAnsiTheme="majorHAnsi"/>
        </w:rPr>
        <w:t xml:space="preserve">If no GHS classification is available, make your best guess based on the information in the </w:t>
      </w:r>
      <w:r w:rsidR="00F00983">
        <w:rPr>
          <w:rFonts w:asciiTheme="majorHAnsi" w:hAnsiTheme="majorHAnsi"/>
        </w:rPr>
        <w:t>SDS</w:t>
      </w:r>
      <w:r w:rsidR="0005445F" w:rsidRPr="00857AE8">
        <w:rPr>
          <w:rFonts w:asciiTheme="majorHAnsi" w:hAnsiTheme="majorHAnsi"/>
        </w:rPr>
        <w:t>.</w:t>
      </w:r>
      <w:r w:rsidR="00F00983">
        <w:rPr>
          <w:rFonts w:asciiTheme="majorHAnsi" w:hAnsiTheme="majorHAnsi"/>
        </w:rPr>
        <w:t xml:space="preserve"> Contact DRS if you require assistance.</w:t>
      </w:r>
    </w:p>
    <w:p w:rsidR="00116230" w:rsidRPr="00F00983" w:rsidRDefault="00116230" w:rsidP="00F00983">
      <w:pPr>
        <w:spacing w:after="120"/>
        <w:rPr>
          <w:rFonts w:asciiTheme="majorHAnsi" w:hAnsiTheme="majorHAnsi"/>
          <w:b/>
          <w:sz w:val="22"/>
          <w:szCs w:val="22"/>
        </w:rPr>
      </w:pPr>
      <w:r w:rsidRPr="00857AE8">
        <w:rPr>
          <w:rFonts w:asciiTheme="majorHAnsi" w:hAnsiTheme="majorHAnsi"/>
          <w:b/>
          <w:sz w:val="22"/>
          <w:szCs w:val="22"/>
        </w:rPr>
        <w:t>Explosive Materials:</w:t>
      </w:r>
      <w:r w:rsidR="00F00983">
        <w:rPr>
          <w:rFonts w:asciiTheme="majorHAnsi" w:hAnsiTheme="majorHAnsi"/>
          <w:b/>
          <w:sz w:val="22"/>
          <w:szCs w:val="22"/>
        </w:rPr>
        <w:t xml:space="preserve"> </w:t>
      </w:r>
      <w:r w:rsidRPr="00857AE8">
        <w:rPr>
          <w:rFonts w:asciiTheme="majorHAnsi" w:hAnsiTheme="majorHAnsi"/>
          <w:sz w:val="22"/>
          <w:szCs w:val="22"/>
        </w:rPr>
        <w:t>Some explosive or reactive chemicals are shipped wet or in a solution for safety reasons. The hazard classification on the label refers to th</w:t>
      </w:r>
      <w:r w:rsidR="00D57DA1" w:rsidRPr="00857AE8">
        <w:rPr>
          <w:rFonts w:asciiTheme="majorHAnsi" w:hAnsiTheme="majorHAnsi"/>
          <w:sz w:val="22"/>
          <w:szCs w:val="22"/>
        </w:rPr>
        <w:t>e</w:t>
      </w:r>
      <w:r w:rsidRPr="00857AE8">
        <w:rPr>
          <w:rFonts w:asciiTheme="majorHAnsi" w:hAnsiTheme="majorHAnsi"/>
          <w:sz w:val="22"/>
          <w:szCs w:val="22"/>
        </w:rPr>
        <w:t xml:space="preserve"> wetted chemical or mixture and does not always identify the reactivity of the dry/pure chemical. Read the SDS to </w:t>
      </w:r>
      <w:r w:rsidR="00D57DA1" w:rsidRPr="00857AE8">
        <w:rPr>
          <w:rFonts w:asciiTheme="majorHAnsi" w:hAnsiTheme="majorHAnsi"/>
          <w:sz w:val="22"/>
          <w:szCs w:val="22"/>
        </w:rPr>
        <w:t xml:space="preserve">determine if the </w:t>
      </w:r>
      <w:r w:rsidRPr="00857AE8">
        <w:rPr>
          <w:rFonts w:asciiTheme="majorHAnsi" w:hAnsiTheme="majorHAnsi"/>
          <w:sz w:val="22"/>
          <w:szCs w:val="22"/>
        </w:rPr>
        <w:t>chemical may be explosive or reactive.</w:t>
      </w:r>
    </w:p>
    <w:p w:rsidR="00116230" w:rsidRPr="00857AE8" w:rsidRDefault="00116230" w:rsidP="00116230">
      <w:pPr>
        <w:rPr>
          <w:rFonts w:asciiTheme="majorHAnsi" w:hAnsiTheme="majorHAnsi"/>
          <w:b/>
          <w:sz w:val="22"/>
          <w:szCs w:val="22"/>
        </w:rPr>
      </w:pPr>
      <w:r w:rsidRPr="00857AE8">
        <w:rPr>
          <w:rFonts w:asciiTheme="majorHAnsi" w:hAnsiTheme="majorHAnsi"/>
          <w:b/>
          <w:sz w:val="22"/>
          <w:szCs w:val="22"/>
        </w:rPr>
        <w:t>If any of the following are listed in the SDS, mark that chemical as Explosive Material:</w:t>
      </w:r>
    </w:p>
    <w:p w:rsidR="00116230" w:rsidRPr="00857AE8" w:rsidRDefault="00116230" w:rsidP="0011623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57AE8">
        <w:rPr>
          <w:rFonts w:asciiTheme="majorHAnsi" w:hAnsiTheme="majorHAnsi"/>
        </w:rPr>
        <w:t>A statement in section 2</w:t>
      </w:r>
      <w:r w:rsidR="00D57DA1" w:rsidRPr="00857AE8">
        <w:rPr>
          <w:rFonts w:asciiTheme="majorHAnsi" w:hAnsiTheme="majorHAnsi"/>
        </w:rPr>
        <w:t>,</w:t>
      </w:r>
      <w:r w:rsidRPr="00857AE8">
        <w:rPr>
          <w:rFonts w:asciiTheme="majorHAnsi" w:hAnsiTheme="majorHAnsi"/>
        </w:rPr>
        <w:t xml:space="preserve"> "may explode when dry</w:t>
      </w:r>
      <w:r w:rsidR="00D57DA1" w:rsidRPr="00857AE8">
        <w:rPr>
          <w:rFonts w:asciiTheme="majorHAnsi" w:hAnsiTheme="majorHAnsi"/>
        </w:rPr>
        <w:t>,</w:t>
      </w:r>
      <w:r w:rsidRPr="00857AE8">
        <w:rPr>
          <w:rFonts w:asciiTheme="majorHAnsi" w:hAnsiTheme="majorHAnsi"/>
        </w:rPr>
        <w:t>" or similar</w:t>
      </w:r>
      <w:r w:rsidR="00EA002C" w:rsidRPr="00857AE8">
        <w:rPr>
          <w:rFonts w:asciiTheme="majorHAnsi" w:hAnsiTheme="majorHAnsi"/>
        </w:rPr>
        <w:t>;</w:t>
      </w:r>
    </w:p>
    <w:p w:rsidR="00116230" w:rsidRPr="00857AE8" w:rsidRDefault="00116230" w:rsidP="0011623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Theme="majorHAnsi" w:eastAsia="Times New Roman" w:hAnsiTheme="majorHAnsi" w:cs="Times New Roman"/>
          <w:color w:val="000000"/>
        </w:rPr>
      </w:pPr>
      <w:r w:rsidRPr="00857AE8">
        <w:rPr>
          <w:rFonts w:asciiTheme="majorHAnsi" w:eastAsia="Times New Roman" w:hAnsiTheme="majorHAnsi" w:cs="Times New Roman"/>
          <w:color w:val="000000"/>
        </w:rPr>
        <w:t>A classification of the dry/pure chemical in section 2 or 3 as Explosive, Organic Peroxide, or Self Reactive.</w:t>
      </w:r>
    </w:p>
    <w:p w:rsidR="00116230" w:rsidRPr="00857AE8" w:rsidRDefault="00116230" w:rsidP="00116230">
      <w:pPr>
        <w:pStyle w:val="ListParagraph"/>
        <w:ind w:left="0"/>
        <w:rPr>
          <w:rFonts w:asciiTheme="majorHAnsi" w:hAnsiTheme="majorHAnsi"/>
        </w:rPr>
      </w:pPr>
      <w:r w:rsidRPr="00857AE8">
        <w:rPr>
          <w:rFonts w:asciiTheme="majorHAnsi" w:hAnsiTheme="majorHAnsi"/>
        </w:rPr>
        <w:t xml:space="preserve">The following </w:t>
      </w:r>
      <w:r w:rsidRPr="00857AE8">
        <w:rPr>
          <w:rFonts w:asciiTheme="majorHAnsi" w:hAnsiTheme="majorHAnsi"/>
          <w:i/>
        </w:rPr>
        <w:t>common</w:t>
      </w:r>
      <w:r w:rsidRPr="00857AE8">
        <w:rPr>
          <w:rFonts w:asciiTheme="majorHAnsi" w:hAnsiTheme="majorHAnsi"/>
        </w:rPr>
        <w:t xml:space="preserve"> chemicals </w:t>
      </w:r>
      <w:r w:rsidR="008F4731" w:rsidRPr="00857AE8">
        <w:rPr>
          <w:rFonts w:asciiTheme="majorHAnsi" w:hAnsiTheme="majorHAnsi"/>
        </w:rPr>
        <w:t>have explosive properties in their pure form</w:t>
      </w:r>
      <w:r w:rsidRPr="00857AE8">
        <w:rPr>
          <w:rFonts w:asciiTheme="majorHAnsi" w:hAnsiTheme="majorHAnsi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80"/>
        <w:gridCol w:w="4410"/>
      </w:tblGrid>
      <w:tr w:rsidR="008F4731" w:rsidRPr="00857AE8" w:rsidTr="008F4731">
        <w:trPr>
          <w:trHeight w:val="288"/>
        </w:trPr>
        <w:tc>
          <w:tcPr>
            <w:tcW w:w="5580" w:type="dxa"/>
          </w:tcPr>
          <w:p w:rsidR="008F4731" w:rsidRPr="00857AE8" w:rsidRDefault="008F4731" w:rsidP="008F4731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857AE8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4410" w:type="dxa"/>
          </w:tcPr>
          <w:p w:rsidR="008F4731" w:rsidRPr="00857AE8" w:rsidRDefault="009873F3" w:rsidP="008F4731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857AE8">
              <w:rPr>
                <w:rFonts w:asciiTheme="majorHAnsi" w:hAnsiTheme="majorHAnsi"/>
                <w:b/>
              </w:rPr>
              <w:t xml:space="preserve">GHS </w:t>
            </w:r>
            <w:r w:rsidR="008F4731" w:rsidRPr="00857AE8">
              <w:rPr>
                <w:rFonts w:asciiTheme="majorHAnsi" w:hAnsiTheme="majorHAnsi"/>
                <w:b/>
              </w:rPr>
              <w:t xml:space="preserve">Classification </w:t>
            </w:r>
            <w:r w:rsidRPr="00857AE8">
              <w:rPr>
                <w:rFonts w:asciiTheme="majorHAnsi" w:hAnsiTheme="majorHAnsi"/>
                <w:b/>
              </w:rPr>
              <w:t>of the dry compound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Ammonium Perchlorate</w:t>
            </w:r>
          </w:p>
        </w:tc>
        <w:tc>
          <w:tcPr>
            <w:tcW w:w="441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 xml:space="preserve">Explosives 1.1 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DA53D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Azodicarbonamide</w:t>
            </w:r>
            <w:r w:rsidR="00DA53D0" w:rsidRPr="00857AE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(Azodicarboxamide or Azobisformamide)</w:t>
            </w:r>
          </w:p>
        </w:tc>
        <w:tc>
          <w:tcPr>
            <w:tcW w:w="441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 xml:space="preserve">Self-reactive E 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Benzoyl Peroxide</w:t>
            </w:r>
          </w:p>
        </w:tc>
        <w:tc>
          <w:tcPr>
            <w:tcW w:w="4410" w:type="dxa"/>
          </w:tcPr>
          <w:p w:rsidR="008F4731" w:rsidRPr="00857AE8" w:rsidRDefault="008F4731" w:rsidP="009873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Organ</w:t>
            </w:r>
            <w:r w:rsidR="001D4844" w:rsidRPr="00857AE8">
              <w:rPr>
                <w:rFonts w:asciiTheme="majorHAnsi" w:hAnsiTheme="majorHAnsi"/>
                <w:sz w:val="22"/>
                <w:szCs w:val="22"/>
              </w:rPr>
              <w:t>ic</w:t>
            </w:r>
            <w:r w:rsidRPr="00857AE8">
              <w:rPr>
                <w:rFonts w:asciiTheme="majorHAnsi" w:hAnsiTheme="majorHAnsi"/>
                <w:sz w:val="22"/>
                <w:szCs w:val="22"/>
              </w:rPr>
              <w:t xml:space="preserve"> Peroxide B 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Benzyl Azide</w:t>
            </w:r>
          </w:p>
        </w:tc>
        <w:tc>
          <w:tcPr>
            <w:tcW w:w="4410" w:type="dxa"/>
          </w:tcPr>
          <w:p w:rsidR="008F4731" w:rsidRPr="00857AE8" w:rsidRDefault="008F4731" w:rsidP="009873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 xml:space="preserve">Self-reactive B 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1,1-Bis(tert-butylperoxy)-3,3,5-trimethylcyclohexane</w:t>
            </w:r>
          </w:p>
        </w:tc>
        <w:tc>
          <w:tcPr>
            <w:tcW w:w="441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Organ</w:t>
            </w:r>
            <w:r w:rsidR="001D4844" w:rsidRPr="00857AE8">
              <w:rPr>
                <w:rFonts w:asciiTheme="majorHAnsi" w:hAnsiTheme="majorHAnsi"/>
                <w:sz w:val="22"/>
                <w:szCs w:val="22"/>
              </w:rPr>
              <w:t>ic</w:t>
            </w:r>
            <w:r w:rsidRPr="00857AE8">
              <w:rPr>
                <w:rFonts w:asciiTheme="majorHAnsi" w:hAnsiTheme="majorHAnsi"/>
                <w:sz w:val="22"/>
                <w:szCs w:val="22"/>
              </w:rPr>
              <w:t xml:space="preserve"> Peroxide B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Cellulose nitrate</w:t>
            </w:r>
          </w:p>
        </w:tc>
        <w:tc>
          <w:tcPr>
            <w:tcW w:w="4410" w:type="dxa"/>
          </w:tcPr>
          <w:p w:rsidR="008F4731" w:rsidRPr="00857AE8" w:rsidRDefault="008F4731" w:rsidP="009873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 xml:space="preserve">Explosive 1.1 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3-Chloroperbenzoic acid</w:t>
            </w:r>
          </w:p>
        </w:tc>
        <w:tc>
          <w:tcPr>
            <w:tcW w:w="441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Organ</w:t>
            </w:r>
            <w:r w:rsidR="001D4844" w:rsidRPr="00857AE8">
              <w:rPr>
                <w:rFonts w:asciiTheme="majorHAnsi" w:hAnsiTheme="majorHAnsi"/>
                <w:sz w:val="22"/>
                <w:szCs w:val="22"/>
              </w:rPr>
              <w:t>ic</w:t>
            </w:r>
            <w:r w:rsidRPr="00857AE8">
              <w:rPr>
                <w:rFonts w:asciiTheme="majorHAnsi" w:hAnsiTheme="majorHAnsi"/>
                <w:sz w:val="22"/>
                <w:szCs w:val="22"/>
              </w:rPr>
              <w:t xml:space="preserve"> Peroxide D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Diazald</w:t>
            </w:r>
          </w:p>
        </w:tc>
        <w:tc>
          <w:tcPr>
            <w:tcW w:w="441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Self-reactive C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1-Hydroxybenzotriazole</w:t>
            </w:r>
          </w:p>
        </w:tc>
        <w:tc>
          <w:tcPr>
            <w:tcW w:w="4410" w:type="dxa"/>
          </w:tcPr>
          <w:p w:rsidR="008F4731" w:rsidRPr="00857AE8" w:rsidRDefault="008F4731" w:rsidP="009873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 xml:space="preserve">Flammable solid 2 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Picric acid</w:t>
            </w:r>
          </w:p>
        </w:tc>
        <w:tc>
          <w:tcPr>
            <w:tcW w:w="4410" w:type="dxa"/>
          </w:tcPr>
          <w:p w:rsidR="008F4731" w:rsidRPr="00857AE8" w:rsidRDefault="008F4731" w:rsidP="009873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 xml:space="preserve">Explosive 1.1 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Tetraethylammonium perchlorate</w:t>
            </w:r>
          </w:p>
        </w:tc>
        <w:tc>
          <w:tcPr>
            <w:tcW w:w="441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tert-Butyl peroxybenzoate</w:t>
            </w:r>
          </w:p>
        </w:tc>
        <w:tc>
          <w:tcPr>
            <w:tcW w:w="4410" w:type="dxa"/>
          </w:tcPr>
          <w:p w:rsidR="008F4731" w:rsidRPr="00857AE8" w:rsidRDefault="008F4731" w:rsidP="008F4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57AE8">
              <w:rPr>
                <w:rFonts w:asciiTheme="majorHAnsi" w:hAnsiTheme="majorHAnsi"/>
                <w:sz w:val="22"/>
                <w:szCs w:val="22"/>
              </w:rPr>
              <w:t>Organ</w:t>
            </w:r>
            <w:r w:rsidR="001D4844" w:rsidRPr="00857AE8">
              <w:rPr>
                <w:rFonts w:asciiTheme="majorHAnsi" w:hAnsiTheme="majorHAnsi"/>
                <w:sz w:val="22"/>
                <w:szCs w:val="22"/>
              </w:rPr>
              <w:t>ic</w:t>
            </w:r>
            <w:r w:rsidRPr="00857AE8">
              <w:rPr>
                <w:rFonts w:asciiTheme="majorHAnsi" w:hAnsiTheme="majorHAnsi"/>
                <w:sz w:val="22"/>
                <w:szCs w:val="22"/>
              </w:rPr>
              <w:t xml:space="preserve"> Peroxide C</w:t>
            </w:r>
          </w:p>
        </w:tc>
      </w:tr>
      <w:tr w:rsidR="008F4731" w:rsidRPr="00857AE8" w:rsidTr="008F4731">
        <w:tc>
          <w:tcPr>
            <w:tcW w:w="5580" w:type="dxa"/>
          </w:tcPr>
          <w:p w:rsidR="008F4731" w:rsidRPr="00857AE8" w:rsidRDefault="008F4731" w:rsidP="009873F3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857AE8">
              <w:rPr>
                <w:rFonts w:asciiTheme="majorHAnsi" w:hAnsiTheme="majorHAnsi"/>
              </w:rPr>
              <w:t>1,3,5-Trinitrobenzene</w:t>
            </w:r>
          </w:p>
        </w:tc>
        <w:tc>
          <w:tcPr>
            <w:tcW w:w="4410" w:type="dxa"/>
          </w:tcPr>
          <w:p w:rsidR="008F4731" w:rsidRPr="00857AE8" w:rsidRDefault="008F4731" w:rsidP="009873F3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857AE8">
              <w:rPr>
                <w:rFonts w:asciiTheme="majorHAnsi" w:hAnsiTheme="majorHAnsi"/>
              </w:rPr>
              <w:t>Explosive 1.1</w:t>
            </w:r>
          </w:p>
        </w:tc>
      </w:tr>
    </w:tbl>
    <w:p w:rsidR="00E00EC8" w:rsidRPr="00857AE8" w:rsidRDefault="00E00EC8" w:rsidP="00CE3563">
      <w:pPr>
        <w:tabs>
          <w:tab w:val="left" w:pos="7565"/>
        </w:tabs>
        <w:rPr>
          <w:rFonts w:asciiTheme="majorHAnsi" w:hAnsiTheme="majorHAnsi"/>
          <w:b/>
          <w:sz w:val="22"/>
          <w:szCs w:val="22"/>
          <w:u w:val="single"/>
        </w:rPr>
      </w:pPr>
      <w:r w:rsidRPr="00857AE8">
        <w:rPr>
          <w:rFonts w:asciiTheme="majorHAnsi" w:hAnsiTheme="majorHAnsi"/>
          <w:b/>
          <w:sz w:val="22"/>
          <w:szCs w:val="22"/>
          <w:u w:val="single"/>
        </w:rPr>
        <w:t>Note:</w:t>
      </w:r>
    </w:p>
    <w:p w:rsidR="0005667F" w:rsidRPr="00857AE8" w:rsidRDefault="00E00EC8" w:rsidP="00CE3563">
      <w:pPr>
        <w:tabs>
          <w:tab w:val="left" w:pos="7565"/>
        </w:tabs>
        <w:rPr>
          <w:rFonts w:asciiTheme="majorHAnsi" w:hAnsiTheme="majorHAnsi"/>
          <w:sz w:val="22"/>
          <w:szCs w:val="22"/>
        </w:rPr>
      </w:pPr>
      <w:r w:rsidRPr="00857AE8">
        <w:rPr>
          <w:rFonts w:asciiTheme="majorHAnsi" w:hAnsiTheme="majorHAnsi"/>
          <w:sz w:val="22"/>
          <w:szCs w:val="22"/>
        </w:rPr>
        <w:t>The risk level “low” refers</w:t>
      </w:r>
      <w:r w:rsidR="00073401">
        <w:rPr>
          <w:rFonts w:asciiTheme="majorHAnsi" w:hAnsiTheme="majorHAnsi"/>
          <w:sz w:val="22"/>
          <w:szCs w:val="22"/>
        </w:rPr>
        <w:t xml:space="preserve"> only</w:t>
      </w:r>
      <w:r w:rsidRPr="00857AE8">
        <w:rPr>
          <w:rFonts w:asciiTheme="majorHAnsi" w:hAnsiTheme="majorHAnsi"/>
          <w:sz w:val="22"/>
          <w:szCs w:val="22"/>
        </w:rPr>
        <w:t xml:space="preserve"> to storage of the stabilized form and does </w:t>
      </w:r>
      <w:r w:rsidRPr="00857AE8">
        <w:rPr>
          <w:rFonts w:asciiTheme="majorHAnsi" w:hAnsiTheme="majorHAnsi"/>
          <w:sz w:val="22"/>
          <w:szCs w:val="22"/>
          <w:u w:val="single"/>
        </w:rPr>
        <w:t>NOT</w:t>
      </w:r>
      <w:r w:rsidRPr="00857AE8">
        <w:rPr>
          <w:rFonts w:asciiTheme="majorHAnsi" w:hAnsiTheme="majorHAnsi"/>
          <w:sz w:val="22"/>
          <w:szCs w:val="22"/>
        </w:rPr>
        <w:t xml:space="preserve"> reflect the risks associated with handling </w:t>
      </w:r>
      <w:r w:rsidR="00DA53D0" w:rsidRPr="00857AE8">
        <w:rPr>
          <w:rFonts w:asciiTheme="majorHAnsi" w:hAnsiTheme="majorHAnsi"/>
          <w:sz w:val="22"/>
          <w:szCs w:val="22"/>
        </w:rPr>
        <w:t>such</w:t>
      </w:r>
      <w:r w:rsidRPr="00857AE8">
        <w:rPr>
          <w:rFonts w:asciiTheme="majorHAnsi" w:hAnsiTheme="majorHAnsi"/>
          <w:sz w:val="22"/>
          <w:szCs w:val="22"/>
        </w:rPr>
        <w:t xml:space="preserve"> material</w:t>
      </w:r>
      <w:r w:rsidR="00B47BF6" w:rsidRPr="00857AE8">
        <w:rPr>
          <w:rFonts w:asciiTheme="majorHAnsi" w:hAnsiTheme="majorHAnsi"/>
          <w:sz w:val="22"/>
          <w:szCs w:val="22"/>
        </w:rPr>
        <w:t xml:space="preserve"> or changes to the stability after storage for an extended period of time</w:t>
      </w:r>
      <w:r w:rsidRPr="00857AE8">
        <w:rPr>
          <w:rFonts w:asciiTheme="majorHAnsi" w:hAnsiTheme="majorHAnsi"/>
          <w:sz w:val="22"/>
          <w:szCs w:val="22"/>
        </w:rPr>
        <w:t xml:space="preserve">. </w:t>
      </w:r>
    </w:p>
    <w:sectPr w:rsidR="0005667F" w:rsidRPr="00857AE8" w:rsidSect="00A33E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40" w:rsidRDefault="00A21540" w:rsidP="00C641BF">
      <w:r>
        <w:separator/>
      </w:r>
    </w:p>
  </w:endnote>
  <w:endnote w:type="continuationSeparator" w:id="0">
    <w:p w:rsidR="00A21540" w:rsidRDefault="00A21540" w:rsidP="00C6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40" w:rsidRDefault="00A21540" w:rsidP="00C641BF">
      <w:r>
        <w:separator/>
      </w:r>
    </w:p>
  </w:footnote>
  <w:footnote w:type="continuationSeparator" w:id="0">
    <w:p w:rsidR="00A21540" w:rsidRDefault="00A21540" w:rsidP="00C6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4E5B"/>
    <w:multiLevelType w:val="hybridMultilevel"/>
    <w:tmpl w:val="2FEE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723CC"/>
    <w:multiLevelType w:val="hybridMultilevel"/>
    <w:tmpl w:val="F752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D1F24"/>
    <w:multiLevelType w:val="hybridMultilevel"/>
    <w:tmpl w:val="C7B2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945DE"/>
    <w:multiLevelType w:val="hybridMultilevel"/>
    <w:tmpl w:val="0BC0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9F"/>
    <w:rsid w:val="00010507"/>
    <w:rsid w:val="00034462"/>
    <w:rsid w:val="00034CC0"/>
    <w:rsid w:val="0004164E"/>
    <w:rsid w:val="00052466"/>
    <w:rsid w:val="0005445F"/>
    <w:rsid w:val="0005667F"/>
    <w:rsid w:val="00070CB7"/>
    <w:rsid w:val="0007180F"/>
    <w:rsid w:val="00073401"/>
    <w:rsid w:val="000A5FF9"/>
    <w:rsid w:val="00116230"/>
    <w:rsid w:val="0012063F"/>
    <w:rsid w:val="00123D44"/>
    <w:rsid w:val="00124726"/>
    <w:rsid w:val="00125E7A"/>
    <w:rsid w:val="00131142"/>
    <w:rsid w:val="0013123A"/>
    <w:rsid w:val="00131836"/>
    <w:rsid w:val="00145AEC"/>
    <w:rsid w:val="00154607"/>
    <w:rsid w:val="001552F7"/>
    <w:rsid w:val="00163E82"/>
    <w:rsid w:val="00164C96"/>
    <w:rsid w:val="00173CD4"/>
    <w:rsid w:val="001A0AF6"/>
    <w:rsid w:val="001D4844"/>
    <w:rsid w:val="001D49DF"/>
    <w:rsid w:val="001E53E1"/>
    <w:rsid w:val="001F1174"/>
    <w:rsid w:val="002079D7"/>
    <w:rsid w:val="0022121C"/>
    <w:rsid w:val="002434C6"/>
    <w:rsid w:val="002456F2"/>
    <w:rsid w:val="00245BD3"/>
    <w:rsid w:val="002474E9"/>
    <w:rsid w:val="00276C6D"/>
    <w:rsid w:val="00294F01"/>
    <w:rsid w:val="00297646"/>
    <w:rsid w:val="002F0221"/>
    <w:rsid w:val="00307E0F"/>
    <w:rsid w:val="00311C18"/>
    <w:rsid w:val="003505D5"/>
    <w:rsid w:val="003537E3"/>
    <w:rsid w:val="00354EEA"/>
    <w:rsid w:val="00363F34"/>
    <w:rsid w:val="00365668"/>
    <w:rsid w:val="00365E11"/>
    <w:rsid w:val="00373DA8"/>
    <w:rsid w:val="003B0D08"/>
    <w:rsid w:val="003E11AB"/>
    <w:rsid w:val="00437188"/>
    <w:rsid w:val="004569F2"/>
    <w:rsid w:val="00491E64"/>
    <w:rsid w:val="00507D28"/>
    <w:rsid w:val="00520865"/>
    <w:rsid w:val="00522286"/>
    <w:rsid w:val="00547279"/>
    <w:rsid w:val="0055042A"/>
    <w:rsid w:val="00557959"/>
    <w:rsid w:val="0057749F"/>
    <w:rsid w:val="00577FBB"/>
    <w:rsid w:val="00597138"/>
    <w:rsid w:val="00630A35"/>
    <w:rsid w:val="00657342"/>
    <w:rsid w:val="0066162A"/>
    <w:rsid w:val="006671F7"/>
    <w:rsid w:val="0067271E"/>
    <w:rsid w:val="00674D4D"/>
    <w:rsid w:val="006F68C7"/>
    <w:rsid w:val="00703B39"/>
    <w:rsid w:val="007335F6"/>
    <w:rsid w:val="0074523F"/>
    <w:rsid w:val="0078005B"/>
    <w:rsid w:val="0078540B"/>
    <w:rsid w:val="007856A1"/>
    <w:rsid w:val="007B239E"/>
    <w:rsid w:val="007C1D0E"/>
    <w:rsid w:val="007D588E"/>
    <w:rsid w:val="007E6667"/>
    <w:rsid w:val="007F0B7C"/>
    <w:rsid w:val="00813CD3"/>
    <w:rsid w:val="0081733C"/>
    <w:rsid w:val="008229BE"/>
    <w:rsid w:val="00850133"/>
    <w:rsid w:val="00857AE8"/>
    <w:rsid w:val="00870C9C"/>
    <w:rsid w:val="00873554"/>
    <w:rsid w:val="008837F3"/>
    <w:rsid w:val="008973E2"/>
    <w:rsid w:val="008A006D"/>
    <w:rsid w:val="008A44B2"/>
    <w:rsid w:val="008A7423"/>
    <w:rsid w:val="008B4FF4"/>
    <w:rsid w:val="008E04EC"/>
    <w:rsid w:val="008F4731"/>
    <w:rsid w:val="008F5244"/>
    <w:rsid w:val="00905942"/>
    <w:rsid w:val="00906C69"/>
    <w:rsid w:val="00926C4C"/>
    <w:rsid w:val="009614A7"/>
    <w:rsid w:val="009632FC"/>
    <w:rsid w:val="00985503"/>
    <w:rsid w:val="009873F3"/>
    <w:rsid w:val="009C51EF"/>
    <w:rsid w:val="009C675B"/>
    <w:rsid w:val="009D50CB"/>
    <w:rsid w:val="00A010DE"/>
    <w:rsid w:val="00A21540"/>
    <w:rsid w:val="00A33ECB"/>
    <w:rsid w:val="00A50AAF"/>
    <w:rsid w:val="00A63C41"/>
    <w:rsid w:val="00A81249"/>
    <w:rsid w:val="00A931A2"/>
    <w:rsid w:val="00AA05AF"/>
    <w:rsid w:val="00AD4D4E"/>
    <w:rsid w:val="00AE4DBA"/>
    <w:rsid w:val="00B41FCA"/>
    <w:rsid w:val="00B47BF6"/>
    <w:rsid w:val="00B72E4E"/>
    <w:rsid w:val="00B91E11"/>
    <w:rsid w:val="00BA5572"/>
    <w:rsid w:val="00BD005C"/>
    <w:rsid w:val="00BD561F"/>
    <w:rsid w:val="00BE3270"/>
    <w:rsid w:val="00BF2B7B"/>
    <w:rsid w:val="00BF76C6"/>
    <w:rsid w:val="00C0472A"/>
    <w:rsid w:val="00C3074D"/>
    <w:rsid w:val="00C641BF"/>
    <w:rsid w:val="00C8503A"/>
    <w:rsid w:val="00C8612E"/>
    <w:rsid w:val="00CA1723"/>
    <w:rsid w:val="00CB081F"/>
    <w:rsid w:val="00CC163A"/>
    <w:rsid w:val="00CE3563"/>
    <w:rsid w:val="00D009A1"/>
    <w:rsid w:val="00D01EF3"/>
    <w:rsid w:val="00D47A4C"/>
    <w:rsid w:val="00D57DA1"/>
    <w:rsid w:val="00D67192"/>
    <w:rsid w:val="00D85EA5"/>
    <w:rsid w:val="00D86B01"/>
    <w:rsid w:val="00D907E0"/>
    <w:rsid w:val="00D946EC"/>
    <w:rsid w:val="00DA53D0"/>
    <w:rsid w:val="00DE3F63"/>
    <w:rsid w:val="00E00EC8"/>
    <w:rsid w:val="00E02C65"/>
    <w:rsid w:val="00E031AA"/>
    <w:rsid w:val="00E268C1"/>
    <w:rsid w:val="00E4458A"/>
    <w:rsid w:val="00E47709"/>
    <w:rsid w:val="00E5194D"/>
    <w:rsid w:val="00E84A57"/>
    <w:rsid w:val="00EA002C"/>
    <w:rsid w:val="00EA17B1"/>
    <w:rsid w:val="00ED4F72"/>
    <w:rsid w:val="00EE2F44"/>
    <w:rsid w:val="00F00983"/>
    <w:rsid w:val="00F30DA4"/>
    <w:rsid w:val="00F96F04"/>
    <w:rsid w:val="00FA35DA"/>
    <w:rsid w:val="00FA76B9"/>
    <w:rsid w:val="00FE032F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230"/>
    <w:pPr>
      <w:tabs>
        <w:tab w:val="left" w:pos="6210"/>
      </w:tabs>
      <w:spacing w:after="120" w:line="276" w:lineRule="auto"/>
      <w:jc w:val="both"/>
      <w:outlineLvl w:val="1"/>
    </w:pPr>
    <w:rPr>
      <w:rFonts w:eastAsia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41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1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1B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16230"/>
    <w:rPr>
      <w:rFonts w:eastAsiaTheme="minorHAnsi"/>
      <w:b/>
    </w:rPr>
  </w:style>
  <w:style w:type="paragraph" w:styleId="ListParagraph">
    <w:name w:val="List Paragraph"/>
    <w:basedOn w:val="Normal"/>
    <w:uiPriority w:val="34"/>
    <w:qFormat/>
    <w:rsid w:val="0011623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B0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D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4D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6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230"/>
    <w:pPr>
      <w:tabs>
        <w:tab w:val="left" w:pos="6210"/>
      </w:tabs>
      <w:spacing w:after="120" w:line="276" w:lineRule="auto"/>
      <w:jc w:val="both"/>
      <w:outlineLvl w:val="1"/>
    </w:pPr>
    <w:rPr>
      <w:rFonts w:eastAsia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41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1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1B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16230"/>
    <w:rPr>
      <w:rFonts w:eastAsiaTheme="minorHAnsi"/>
      <w:b/>
    </w:rPr>
  </w:style>
  <w:style w:type="paragraph" w:styleId="ListParagraph">
    <w:name w:val="List Paragraph"/>
    <w:basedOn w:val="Normal"/>
    <w:uiPriority w:val="34"/>
    <w:qFormat/>
    <w:rsid w:val="0011623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B0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D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4D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6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s.illinois.edu/SafetyLibrary/ChemicalHazardClassificatio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InventoryInstructions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hemicalInventoryTemplate.xls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F76C-E373-4188-8D93-0C694E4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Tumidajski Work</dc:creator>
  <cp:lastModifiedBy>McGill, Tina Michelle</cp:lastModifiedBy>
  <cp:revision>2</cp:revision>
  <cp:lastPrinted>2014-02-20T14:17:00Z</cp:lastPrinted>
  <dcterms:created xsi:type="dcterms:W3CDTF">2014-12-15T17:05:00Z</dcterms:created>
  <dcterms:modified xsi:type="dcterms:W3CDTF">2014-12-15T17:05:00Z</dcterms:modified>
</cp:coreProperties>
</file>