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48"/>
          <w:szCs w:val="48"/>
        </w:rPr>
        <w:id w:val="333956887"/>
        <w:placeholder>
          <w:docPart w:val="DefaultPlaceholder_1082065158"/>
        </w:placeholder>
      </w:sdtPr>
      <w:sdtEndPr/>
      <w:sdtContent>
        <w:p w:rsidR="00CB2707" w:rsidRDefault="004A7178" w:rsidP="00CB2707">
          <w:pPr>
            <w:jc w:val="center"/>
            <w:rPr>
              <w:rFonts w:ascii="Times New Roman" w:hAnsi="Times New Roman" w:cs="Times New Roman"/>
              <w:sz w:val="48"/>
              <w:szCs w:val="48"/>
            </w:rPr>
          </w:pPr>
          <w:r>
            <w:rPr>
              <w:rFonts w:ascii="Times New Roman" w:hAnsi="Times New Roman" w:cs="Times New Roman"/>
              <w:sz w:val="48"/>
              <w:szCs w:val="48"/>
            </w:rPr>
            <w:t>Titration of n-</w:t>
          </w:r>
          <w:proofErr w:type="spellStart"/>
          <w:r>
            <w:rPr>
              <w:rFonts w:ascii="Times New Roman" w:hAnsi="Times New Roman" w:cs="Times New Roman"/>
              <w:sz w:val="48"/>
              <w:szCs w:val="48"/>
            </w:rPr>
            <w:t>BuLi</w:t>
          </w:r>
          <w:proofErr w:type="spellEnd"/>
        </w:p>
      </w:sdtContent>
    </w:sdt>
    <w:p w:rsidR="00D54F2A" w:rsidRDefault="00CB2707" w:rsidP="00CB2707">
      <w:pPr>
        <w:jc w:val="center"/>
        <w:rPr>
          <w:rFonts w:ascii="Times New Roman" w:hAnsi="Times New Roman" w:cs="Times New Roman"/>
          <w:sz w:val="40"/>
          <w:szCs w:val="40"/>
        </w:rPr>
      </w:pPr>
      <w:r w:rsidRPr="00CB2707">
        <w:rPr>
          <w:rFonts w:ascii="Times New Roman" w:hAnsi="Times New Roman" w:cs="Times New Roman"/>
          <w:sz w:val="40"/>
          <w:szCs w:val="40"/>
        </w:rPr>
        <w:t>Standard Operating Procedure</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 xml:space="preserve">Lab: </w:t>
      </w:r>
      <w:r w:rsidR="00407B2A">
        <w:rPr>
          <w:rFonts w:ascii="Times New Roman" w:hAnsi="Times New Roman" w:cs="Times New Roman"/>
          <w:sz w:val="24"/>
          <w:szCs w:val="24"/>
        </w:rPr>
        <w:t>LSS</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Department:</w:t>
      </w:r>
      <w:r w:rsidR="00407B2A">
        <w:rPr>
          <w:rFonts w:ascii="Times New Roman" w:hAnsi="Times New Roman" w:cs="Times New Roman"/>
          <w:sz w:val="24"/>
          <w:szCs w:val="24"/>
        </w:rPr>
        <w:t xml:space="preserve"> DRS</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PI/Manager of Space:</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Written By:</w:t>
      </w:r>
      <w:r w:rsidR="00407B2A">
        <w:rPr>
          <w:rFonts w:ascii="Times New Roman" w:hAnsi="Times New Roman" w:cs="Times New Roman"/>
          <w:sz w:val="24"/>
          <w:szCs w:val="24"/>
        </w:rPr>
        <w:t xml:space="preserve"> </w:t>
      </w:r>
    </w:p>
    <w:p w:rsidR="00421527" w:rsidRPr="00421527" w:rsidRDefault="00421527" w:rsidP="00B76E5E">
      <w:pPr>
        <w:rPr>
          <w:rFonts w:ascii="Times New Roman" w:hAnsi="Times New Roman" w:cs="Times New Roman"/>
          <w:b/>
          <w:sz w:val="24"/>
          <w:szCs w:val="24"/>
        </w:rPr>
      </w:pPr>
      <w:r w:rsidRPr="00421527">
        <w:rPr>
          <w:rFonts w:ascii="Times New Roman" w:hAnsi="Times New Roman" w:cs="Times New Roman"/>
          <w:b/>
          <w:sz w:val="24"/>
          <w:szCs w:val="24"/>
        </w:rPr>
        <w:t>Section 1: Overview</w:t>
      </w:r>
    </w:p>
    <w:p w:rsidR="00B76E5E" w:rsidRDefault="00B76E5E" w:rsidP="00B76E5E">
      <w:pPr>
        <w:rPr>
          <w:rFonts w:ascii="Times New Roman" w:hAnsi="Times New Roman" w:cs="Times New Roman"/>
          <w:sz w:val="20"/>
          <w:szCs w:val="20"/>
        </w:rPr>
      </w:pPr>
      <w:r w:rsidRPr="00B76E5E">
        <w:rPr>
          <w:rFonts w:ascii="Times New Roman" w:hAnsi="Times New Roman" w:cs="Times New Roman"/>
          <w:b/>
          <w:sz w:val="20"/>
          <w:szCs w:val="20"/>
        </w:rPr>
        <w:t>Type of SOP:</w:t>
      </w:r>
      <w:r>
        <w:rPr>
          <w:rFonts w:ascii="Times New Roman" w:hAnsi="Times New Roman" w:cs="Times New Roman"/>
          <w:sz w:val="20"/>
          <w:szCs w:val="20"/>
        </w:rPr>
        <w:t xml:space="preserve">    </w:t>
      </w:r>
      <w:sdt>
        <w:sdtPr>
          <w:rPr>
            <w:rFonts w:ascii="Times New Roman" w:hAnsi="Times New Roman" w:cs="Times New Roman"/>
            <w:sz w:val="20"/>
            <w:szCs w:val="20"/>
          </w:rPr>
          <w:id w:val="332269015"/>
          <w14:checkbox>
            <w14:checked w14:val="1"/>
            <w14:checkedState w14:val="2612" w14:font="MS Gothic"/>
            <w14:uncheckedState w14:val="2610" w14:font="MS Gothic"/>
          </w14:checkbox>
        </w:sdtPr>
        <w:sdtEndPr/>
        <w:sdtContent>
          <w:r w:rsidR="00407B2A">
            <w:rPr>
              <w:rFonts w:ascii="MS Gothic" w:eastAsia="MS Gothic" w:hAnsi="MS Gothic" w:cs="Times New Roman" w:hint="eastAsia"/>
              <w:sz w:val="20"/>
              <w:szCs w:val="20"/>
            </w:rPr>
            <w:t>☒</w:t>
          </w:r>
        </w:sdtContent>
      </w:sdt>
      <w:r w:rsidR="00E23FF7">
        <w:rPr>
          <w:rFonts w:ascii="Times New Roman" w:hAnsi="Times New Roman" w:cs="Times New Roman"/>
          <w:sz w:val="20"/>
          <w:szCs w:val="20"/>
        </w:rPr>
        <w:t>Process</w:t>
      </w:r>
      <w:r w:rsidR="00E36BCE">
        <w:rPr>
          <w:rFonts w:ascii="Times New Roman" w:hAnsi="Times New Roman" w:cs="Times New Roman"/>
          <w:sz w:val="20"/>
          <w:szCs w:val="20"/>
        </w:rPr>
        <w:tab/>
      </w:r>
      <w:sdt>
        <w:sdtPr>
          <w:rPr>
            <w:rFonts w:ascii="Times New Roman" w:hAnsi="Times New Roman" w:cs="Times New Roman"/>
            <w:sz w:val="20"/>
            <w:szCs w:val="20"/>
          </w:rPr>
          <w:id w:val="-677036314"/>
          <w14:checkbox>
            <w14:checked w14:val="0"/>
            <w14:checkedState w14:val="2612" w14:font="MS Gothic"/>
            <w14:uncheckedState w14:val="2610" w14:font="MS Gothic"/>
          </w14:checkbox>
        </w:sdtPr>
        <w:sdtEndPr/>
        <w:sdtContent>
          <w:r w:rsidR="00407B2A">
            <w:rPr>
              <w:rFonts w:ascii="MS Gothic" w:eastAsia="MS Gothic" w:hAnsi="MS Gothic" w:cs="Times New Roman" w:hint="eastAsia"/>
              <w:sz w:val="20"/>
              <w:szCs w:val="20"/>
            </w:rPr>
            <w:t>☐</w:t>
          </w:r>
        </w:sdtContent>
      </w:sdt>
      <w:r>
        <w:rPr>
          <w:rFonts w:ascii="Times New Roman" w:hAnsi="Times New Roman" w:cs="Times New Roman"/>
          <w:sz w:val="20"/>
          <w:szCs w:val="20"/>
        </w:rPr>
        <w:t xml:space="preserve">Hazardous </w:t>
      </w:r>
      <w:r w:rsidR="00025E33">
        <w:rPr>
          <w:rFonts w:ascii="Times New Roman" w:hAnsi="Times New Roman" w:cs="Times New Roman"/>
          <w:sz w:val="20"/>
          <w:szCs w:val="20"/>
        </w:rPr>
        <w:t>Material</w:t>
      </w:r>
      <w:r w:rsidR="00E36BCE">
        <w:rPr>
          <w:rFonts w:ascii="Times New Roman" w:hAnsi="Times New Roman" w:cs="Times New Roman"/>
          <w:sz w:val="20"/>
          <w:szCs w:val="20"/>
        </w:rPr>
        <w:tab/>
      </w:r>
      <w:r w:rsidR="00E36BCE" w:rsidRPr="00E36BCE">
        <w:rPr>
          <w:rFonts w:ascii="Times New Roman" w:hAnsi="Times New Roman" w:cs="Times New Roman"/>
          <w:sz w:val="20"/>
          <w:szCs w:val="20"/>
        </w:rPr>
        <w:t xml:space="preserve"> </w:t>
      </w:r>
      <w:sdt>
        <w:sdtPr>
          <w:rPr>
            <w:rFonts w:ascii="Times New Roman" w:hAnsi="Times New Roman" w:cs="Times New Roman"/>
            <w:sz w:val="20"/>
            <w:szCs w:val="20"/>
          </w:rPr>
          <w:id w:val="1162286322"/>
          <w14:checkbox>
            <w14:checked w14:val="0"/>
            <w14:checkedState w14:val="2612" w14:font="MS Gothic"/>
            <w14:uncheckedState w14:val="2610" w14:font="MS Gothic"/>
          </w14:checkbox>
        </w:sdtPr>
        <w:sdtEndPr/>
        <w:sdtContent>
          <w:r w:rsidR="00E857F0">
            <w:rPr>
              <w:rFonts w:ascii="MS Gothic" w:eastAsia="MS Gothic" w:hAnsi="MS Gothic" w:cs="Times New Roman" w:hint="eastAsia"/>
              <w:sz w:val="20"/>
              <w:szCs w:val="20"/>
            </w:rPr>
            <w:t>☐</w:t>
          </w:r>
        </w:sdtContent>
      </w:sdt>
      <w:r w:rsidR="00E36BCE">
        <w:rPr>
          <w:rFonts w:ascii="Times New Roman" w:hAnsi="Times New Roman" w:cs="Times New Roman"/>
          <w:sz w:val="20"/>
          <w:szCs w:val="20"/>
        </w:rPr>
        <w:t>Hazardous Class of Chemicals</w:t>
      </w:r>
      <w:r w:rsidR="00E23FF7">
        <w:rPr>
          <w:rFonts w:ascii="Times New Roman" w:hAnsi="Times New Roman" w:cs="Times New Roman"/>
          <w:sz w:val="20"/>
          <w:szCs w:val="20"/>
        </w:rPr>
        <w:tab/>
      </w:r>
      <w:sdt>
        <w:sdtPr>
          <w:rPr>
            <w:rFonts w:ascii="Times New Roman" w:hAnsi="Times New Roman" w:cs="Times New Roman"/>
            <w:sz w:val="20"/>
            <w:szCs w:val="20"/>
          </w:rPr>
          <w:id w:val="-1846088352"/>
          <w14:checkbox>
            <w14:checked w14:val="0"/>
            <w14:checkedState w14:val="2612" w14:font="MS Gothic"/>
            <w14:uncheckedState w14:val="2610" w14:font="MS Gothic"/>
          </w14:checkbox>
        </w:sdtPr>
        <w:sdtEndPr/>
        <w:sdtContent>
          <w:r w:rsidR="00E23FF7">
            <w:rPr>
              <w:rFonts w:ascii="MS Gothic" w:eastAsia="MS Gothic" w:hAnsi="MS Gothic" w:cs="Times New Roman" w:hint="eastAsia"/>
              <w:sz w:val="20"/>
              <w:szCs w:val="20"/>
            </w:rPr>
            <w:t>☐</w:t>
          </w:r>
        </w:sdtContent>
      </w:sdt>
      <w:r w:rsidR="00E23FF7">
        <w:rPr>
          <w:rFonts w:ascii="Times New Roman" w:hAnsi="Times New Roman" w:cs="Times New Roman"/>
          <w:sz w:val="20"/>
          <w:szCs w:val="20"/>
        </w:rPr>
        <w:t>Equipment</w:t>
      </w:r>
      <w:r>
        <w:rPr>
          <w:rFonts w:ascii="Times New Roman" w:hAnsi="Times New Roman" w:cs="Times New Roman"/>
          <w:sz w:val="20"/>
          <w:szCs w:val="20"/>
        </w:rPr>
        <w:tab/>
      </w:r>
    </w:p>
    <w:p w:rsidR="00B94C63" w:rsidRDefault="00FE6224" w:rsidP="00B76E5E">
      <w:pPr>
        <w:rPr>
          <w:rFonts w:ascii="Times New Roman" w:hAnsi="Times New Roman" w:cs="Times New Roman"/>
          <w:b/>
          <w:sz w:val="20"/>
          <w:szCs w:val="20"/>
        </w:rPr>
      </w:pPr>
      <w:r>
        <w:rPr>
          <w:rFonts w:ascii="Times New Roman" w:hAnsi="Times New Roman" w:cs="Times New Roman"/>
          <w:b/>
          <w:sz w:val="20"/>
          <w:szCs w:val="20"/>
        </w:rPr>
        <w:t xml:space="preserve">Synopsis: </w:t>
      </w:r>
    </w:p>
    <w:p w:rsidR="00FE6224" w:rsidRDefault="002E1349" w:rsidP="00B94C63">
      <w:pPr>
        <w:pBdr>
          <w:top w:val="single" w:sz="4" w:space="1" w:color="auto"/>
          <w:left w:val="single" w:sz="4" w:space="4" w:color="auto"/>
          <w:bottom w:val="single" w:sz="4" w:space="1" w:color="auto"/>
          <w:right w:val="single" w:sz="4" w:space="4" w:color="auto"/>
        </w:pBdr>
        <w:ind w:left="720"/>
        <w:rPr>
          <w:rFonts w:ascii="Times New Roman" w:hAnsi="Times New Roman" w:cs="Times New Roman"/>
          <w:sz w:val="20"/>
          <w:szCs w:val="20"/>
        </w:rPr>
      </w:pPr>
      <w:r>
        <w:rPr>
          <w:rFonts w:ascii="Times New Roman" w:hAnsi="Times New Roman" w:cs="Times New Roman"/>
          <w:i/>
          <w:sz w:val="20"/>
          <w:szCs w:val="20"/>
        </w:rPr>
        <w:t>This SOP describes the titration of n-</w:t>
      </w:r>
      <w:proofErr w:type="spellStart"/>
      <w:r>
        <w:rPr>
          <w:rFonts w:ascii="Times New Roman" w:hAnsi="Times New Roman" w:cs="Times New Roman"/>
          <w:i/>
          <w:sz w:val="20"/>
          <w:szCs w:val="20"/>
        </w:rPr>
        <w:t>BuLi</w:t>
      </w:r>
      <w:proofErr w:type="spellEnd"/>
      <w:r>
        <w:rPr>
          <w:rFonts w:ascii="Times New Roman" w:hAnsi="Times New Roman" w:cs="Times New Roman"/>
          <w:i/>
          <w:sz w:val="20"/>
          <w:szCs w:val="20"/>
        </w:rPr>
        <w:t xml:space="preserve"> using a charge transfer complex indicator. This method is superior </w:t>
      </w:r>
      <w:r w:rsidR="00B41DD1">
        <w:rPr>
          <w:rFonts w:ascii="Times New Roman" w:hAnsi="Times New Roman" w:cs="Times New Roman"/>
          <w:i/>
          <w:sz w:val="20"/>
          <w:szCs w:val="20"/>
        </w:rPr>
        <w:t xml:space="preserve">to other </w:t>
      </w:r>
      <w:r>
        <w:rPr>
          <w:rFonts w:ascii="Times New Roman" w:hAnsi="Times New Roman" w:cs="Times New Roman"/>
          <w:i/>
          <w:sz w:val="20"/>
          <w:szCs w:val="20"/>
        </w:rPr>
        <w:t>method</w:t>
      </w:r>
      <w:r w:rsidR="00B41DD1">
        <w:rPr>
          <w:rFonts w:ascii="Times New Roman" w:hAnsi="Times New Roman" w:cs="Times New Roman"/>
          <w:i/>
          <w:sz w:val="20"/>
          <w:szCs w:val="20"/>
        </w:rPr>
        <w:t>s</w:t>
      </w:r>
      <w:r>
        <w:rPr>
          <w:rFonts w:ascii="Times New Roman" w:hAnsi="Times New Roman" w:cs="Times New Roman"/>
          <w:i/>
          <w:sz w:val="20"/>
          <w:szCs w:val="20"/>
        </w:rPr>
        <w:t xml:space="preserve"> due to the bright red endpoint color.</w:t>
      </w:r>
    </w:p>
    <w:p w:rsidR="004F7740" w:rsidRDefault="00421527" w:rsidP="00B76E5E">
      <w:pPr>
        <w:contextualSpacing/>
        <w:rPr>
          <w:rFonts w:ascii="Times New Roman" w:hAnsi="Times New Roman" w:cs="Times New Roman"/>
          <w:b/>
          <w:sz w:val="24"/>
          <w:szCs w:val="24"/>
        </w:rPr>
      </w:pPr>
      <w:r w:rsidRPr="00421527">
        <w:rPr>
          <w:rFonts w:ascii="Times New Roman" w:hAnsi="Times New Roman" w:cs="Times New Roman"/>
          <w:b/>
          <w:sz w:val="24"/>
          <w:szCs w:val="24"/>
        </w:rPr>
        <w:t xml:space="preserve">Section 2: </w:t>
      </w:r>
      <w:r w:rsidR="004471BC">
        <w:rPr>
          <w:rFonts w:ascii="Times New Roman" w:hAnsi="Times New Roman" w:cs="Times New Roman"/>
          <w:b/>
          <w:sz w:val="24"/>
          <w:szCs w:val="24"/>
        </w:rPr>
        <w:t>Risk Assessment Summary (Hazards and control measures)</w:t>
      </w:r>
    </w:p>
    <w:p w:rsidR="004F7740" w:rsidRDefault="004F7740" w:rsidP="00B76E5E">
      <w:pPr>
        <w:contextualSpacing/>
        <w:rPr>
          <w:rFonts w:ascii="Times New Roman" w:hAnsi="Times New Roman" w:cs="Times New Roman"/>
          <w:sz w:val="20"/>
          <w:szCs w:val="20"/>
          <w:u w:val="single"/>
        </w:rPr>
      </w:pPr>
    </w:p>
    <w:p w:rsidR="00FE6224" w:rsidRPr="00421527" w:rsidRDefault="00CC55AD" w:rsidP="00B76E5E">
      <w:pPr>
        <w:contextualSpacing/>
        <w:rPr>
          <w:rFonts w:ascii="Times New Roman" w:hAnsi="Times New Roman" w:cs="Times New Roman"/>
          <w:b/>
          <w:sz w:val="24"/>
          <w:szCs w:val="24"/>
        </w:rPr>
      </w:pPr>
      <w:r>
        <w:rPr>
          <w:rFonts w:ascii="Times New Roman" w:hAnsi="Times New Roman" w:cs="Times New Roman"/>
          <w:sz w:val="20"/>
          <w:szCs w:val="20"/>
          <w:u w:val="single"/>
        </w:rPr>
        <w:t>Materials</w:t>
      </w:r>
      <w:r w:rsidR="00465F09">
        <w:rPr>
          <w:rFonts w:ascii="Times New Roman" w:hAnsi="Times New Roman" w:cs="Times New Roman"/>
          <w:sz w:val="20"/>
          <w:szCs w:val="20"/>
          <w:u w:val="single"/>
        </w:rPr>
        <w:t>:</w:t>
      </w:r>
    </w:p>
    <w:tbl>
      <w:tblPr>
        <w:tblStyle w:val="TableGrid"/>
        <w:tblW w:w="0" w:type="auto"/>
        <w:tblLook w:val="04A0" w:firstRow="1" w:lastRow="0" w:firstColumn="1" w:lastColumn="0" w:noHBand="0" w:noVBand="1"/>
      </w:tblPr>
      <w:tblGrid>
        <w:gridCol w:w="3348"/>
        <w:gridCol w:w="5940"/>
      </w:tblGrid>
      <w:tr w:rsidR="003E4802" w:rsidTr="003E4802">
        <w:tc>
          <w:tcPr>
            <w:tcW w:w="3348" w:type="dxa"/>
          </w:tcPr>
          <w:p w:rsidR="003E4802" w:rsidRDefault="00CC55AD" w:rsidP="007944F5">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Material </w:t>
            </w:r>
            <w:r w:rsidR="003E4802">
              <w:rPr>
                <w:rFonts w:ascii="Times New Roman" w:hAnsi="Times New Roman" w:cs="Times New Roman"/>
                <w:b/>
                <w:sz w:val="20"/>
                <w:szCs w:val="20"/>
              </w:rPr>
              <w:t>(name, CAS #</w:t>
            </w:r>
            <w:r w:rsidR="004471BC">
              <w:rPr>
                <w:rFonts w:ascii="Times New Roman" w:hAnsi="Times New Roman" w:cs="Times New Roman"/>
                <w:b/>
                <w:sz w:val="20"/>
                <w:szCs w:val="20"/>
              </w:rPr>
              <w:t>, other ID</w:t>
            </w:r>
            <w:r w:rsidR="003E4802">
              <w:rPr>
                <w:rFonts w:ascii="Times New Roman" w:hAnsi="Times New Roman" w:cs="Times New Roman"/>
                <w:b/>
                <w:sz w:val="20"/>
                <w:szCs w:val="20"/>
              </w:rPr>
              <w:t>)</w:t>
            </w:r>
          </w:p>
        </w:tc>
        <w:tc>
          <w:tcPr>
            <w:tcW w:w="5940" w:type="dxa"/>
          </w:tcPr>
          <w:p w:rsidR="003E4802" w:rsidRDefault="003E4802" w:rsidP="005C6F4B">
            <w:pPr>
              <w:contextualSpacing/>
              <w:jc w:val="center"/>
              <w:rPr>
                <w:rFonts w:ascii="Times New Roman" w:hAnsi="Times New Roman" w:cs="Times New Roman"/>
                <w:b/>
                <w:sz w:val="20"/>
                <w:szCs w:val="20"/>
              </w:rPr>
            </w:pPr>
            <w:r>
              <w:rPr>
                <w:rFonts w:ascii="Times New Roman" w:hAnsi="Times New Roman" w:cs="Times New Roman"/>
                <w:b/>
                <w:sz w:val="20"/>
                <w:szCs w:val="20"/>
              </w:rPr>
              <w:t>Hazards</w:t>
            </w:r>
          </w:p>
        </w:tc>
      </w:tr>
      <w:tr w:rsidR="003E4802" w:rsidTr="003E4802">
        <w:tc>
          <w:tcPr>
            <w:tcW w:w="3348" w:type="dxa"/>
          </w:tcPr>
          <w:p w:rsidR="003E4802" w:rsidRPr="00C84513" w:rsidRDefault="002E1349" w:rsidP="00B76E5E">
            <w:pPr>
              <w:contextualSpacing/>
              <w:rPr>
                <w:rFonts w:ascii="Times New Roman" w:hAnsi="Times New Roman" w:cs="Times New Roman"/>
                <w:sz w:val="20"/>
                <w:szCs w:val="20"/>
              </w:rPr>
            </w:pPr>
            <w:r>
              <w:rPr>
                <w:rFonts w:ascii="Times New Roman" w:hAnsi="Times New Roman" w:cs="Times New Roman"/>
                <w:sz w:val="20"/>
                <w:szCs w:val="20"/>
              </w:rPr>
              <w:t>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in hexanes (109-72-8)</w:t>
            </w:r>
          </w:p>
        </w:tc>
        <w:tc>
          <w:tcPr>
            <w:tcW w:w="5940" w:type="dxa"/>
          </w:tcPr>
          <w:p w:rsidR="003E4802" w:rsidRPr="00C84513" w:rsidRDefault="002E1349" w:rsidP="00B76E5E">
            <w:pPr>
              <w:contextualSpacing/>
              <w:rPr>
                <w:rFonts w:ascii="Times New Roman" w:hAnsi="Times New Roman" w:cs="Times New Roman"/>
                <w:sz w:val="20"/>
                <w:szCs w:val="20"/>
              </w:rPr>
            </w:pPr>
            <w:r>
              <w:rPr>
                <w:rFonts w:ascii="Times New Roman" w:hAnsi="Times New Roman" w:cs="Times New Roman"/>
                <w:sz w:val="20"/>
                <w:szCs w:val="20"/>
              </w:rPr>
              <w:t xml:space="preserve">Pyrophoric, flammable, reproductive toxin, corrosive, target organ </w:t>
            </w:r>
            <w:proofErr w:type="spellStart"/>
            <w:r>
              <w:rPr>
                <w:rFonts w:ascii="Times New Roman" w:hAnsi="Times New Roman" w:cs="Times New Roman"/>
                <w:sz w:val="20"/>
                <w:szCs w:val="20"/>
              </w:rPr>
              <w:t>tox</w:t>
            </w:r>
            <w:proofErr w:type="spellEnd"/>
            <w:r>
              <w:rPr>
                <w:rFonts w:ascii="Times New Roman" w:hAnsi="Times New Roman" w:cs="Times New Roman"/>
                <w:sz w:val="20"/>
                <w:szCs w:val="20"/>
              </w:rPr>
              <w:t>.</w:t>
            </w:r>
          </w:p>
        </w:tc>
      </w:tr>
      <w:tr w:rsidR="003E4802" w:rsidTr="003E4802">
        <w:tc>
          <w:tcPr>
            <w:tcW w:w="3348" w:type="dxa"/>
          </w:tcPr>
          <w:p w:rsidR="003E4802" w:rsidRPr="00C84513" w:rsidRDefault="002E1349" w:rsidP="00B76E5E">
            <w:pPr>
              <w:contextualSpacing/>
              <w:rPr>
                <w:rFonts w:ascii="Times New Roman" w:hAnsi="Times New Roman" w:cs="Times New Roman"/>
                <w:sz w:val="20"/>
                <w:szCs w:val="20"/>
              </w:rPr>
            </w:pPr>
            <w:r>
              <w:rPr>
                <w:rFonts w:ascii="Times New Roman" w:hAnsi="Times New Roman" w:cs="Times New Roman"/>
                <w:sz w:val="20"/>
                <w:szCs w:val="20"/>
              </w:rPr>
              <w:t>Menthol (89-78-1)</w:t>
            </w:r>
          </w:p>
        </w:tc>
        <w:tc>
          <w:tcPr>
            <w:tcW w:w="5940" w:type="dxa"/>
          </w:tcPr>
          <w:p w:rsidR="003E4802" w:rsidRPr="00C84513" w:rsidRDefault="002E1349" w:rsidP="00B76E5E">
            <w:pPr>
              <w:contextualSpacing/>
              <w:rPr>
                <w:rFonts w:ascii="Times New Roman" w:hAnsi="Times New Roman" w:cs="Times New Roman"/>
                <w:sz w:val="20"/>
                <w:szCs w:val="20"/>
              </w:rPr>
            </w:pPr>
            <w:r>
              <w:rPr>
                <w:rFonts w:ascii="Times New Roman" w:hAnsi="Times New Roman" w:cs="Times New Roman"/>
                <w:sz w:val="20"/>
                <w:szCs w:val="20"/>
              </w:rPr>
              <w:t>Corrosive, target organ toxicity</w:t>
            </w:r>
          </w:p>
        </w:tc>
      </w:tr>
      <w:tr w:rsidR="00C84513" w:rsidTr="003E4802">
        <w:tc>
          <w:tcPr>
            <w:tcW w:w="3348" w:type="dxa"/>
          </w:tcPr>
          <w:p w:rsidR="00C84513" w:rsidRPr="00C84513" w:rsidRDefault="002E1349" w:rsidP="002427BC">
            <w:pPr>
              <w:contextualSpacing/>
              <w:rPr>
                <w:rFonts w:ascii="Times New Roman" w:hAnsi="Times New Roman" w:cs="Times New Roman"/>
                <w:sz w:val="20"/>
                <w:szCs w:val="20"/>
              </w:rPr>
            </w:pPr>
            <w:r>
              <w:rPr>
                <w:rFonts w:ascii="Times New Roman" w:hAnsi="Times New Roman" w:cs="Times New Roman"/>
                <w:sz w:val="20"/>
                <w:szCs w:val="20"/>
              </w:rPr>
              <w:t>2,2</w:t>
            </w:r>
            <w:r w:rsidR="002427BC">
              <w:rPr>
                <w:rFonts w:ascii="Times New Roman" w:hAnsi="Times New Roman" w:cs="Times New Roman"/>
                <w:sz w:val="20"/>
                <w:szCs w:val="20"/>
              </w:rPr>
              <w:t>ꞌ</w:t>
            </w:r>
            <w:r>
              <w:rPr>
                <w:rFonts w:ascii="Times New Roman" w:hAnsi="Times New Roman" w:cs="Times New Roman"/>
                <w:sz w:val="20"/>
                <w:szCs w:val="20"/>
              </w:rPr>
              <w:t>-</w:t>
            </w:r>
            <w:proofErr w:type="spellStart"/>
            <w:r>
              <w:rPr>
                <w:rFonts w:ascii="Times New Roman" w:hAnsi="Times New Roman" w:cs="Times New Roman"/>
                <w:sz w:val="20"/>
                <w:szCs w:val="20"/>
              </w:rPr>
              <w:t>bipyridyl</w:t>
            </w:r>
            <w:proofErr w:type="spellEnd"/>
            <w:r>
              <w:rPr>
                <w:rFonts w:ascii="Times New Roman" w:hAnsi="Times New Roman" w:cs="Times New Roman"/>
                <w:sz w:val="20"/>
                <w:szCs w:val="20"/>
              </w:rPr>
              <w:t xml:space="preserve"> (366-18-7)</w:t>
            </w:r>
          </w:p>
        </w:tc>
        <w:tc>
          <w:tcPr>
            <w:tcW w:w="5940" w:type="dxa"/>
          </w:tcPr>
          <w:p w:rsidR="00C84513" w:rsidRDefault="002E1349" w:rsidP="00B76E5E">
            <w:pPr>
              <w:contextualSpacing/>
              <w:rPr>
                <w:rFonts w:ascii="Times New Roman" w:hAnsi="Times New Roman" w:cs="Times New Roman"/>
                <w:sz w:val="20"/>
                <w:szCs w:val="20"/>
              </w:rPr>
            </w:pPr>
            <w:r>
              <w:rPr>
                <w:rFonts w:ascii="Times New Roman" w:hAnsi="Times New Roman" w:cs="Times New Roman"/>
                <w:sz w:val="20"/>
                <w:szCs w:val="20"/>
              </w:rPr>
              <w:t>Acute toxicity</w:t>
            </w:r>
          </w:p>
        </w:tc>
      </w:tr>
      <w:tr w:rsidR="002E1349" w:rsidTr="003E4802">
        <w:tc>
          <w:tcPr>
            <w:tcW w:w="3348" w:type="dxa"/>
          </w:tcPr>
          <w:p w:rsidR="002E1349" w:rsidRDefault="002E1349" w:rsidP="00783BC2">
            <w:pPr>
              <w:contextualSpacing/>
              <w:rPr>
                <w:rFonts w:ascii="Times New Roman" w:hAnsi="Times New Roman" w:cs="Times New Roman"/>
                <w:sz w:val="20"/>
                <w:szCs w:val="20"/>
              </w:rPr>
            </w:pPr>
            <w:proofErr w:type="spellStart"/>
            <w:r>
              <w:rPr>
                <w:rFonts w:ascii="Times New Roman" w:hAnsi="Times New Roman" w:cs="Times New Roman"/>
                <w:sz w:val="20"/>
                <w:szCs w:val="20"/>
              </w:rPr>
              <w:t>T</w:t>
            </w:r>
            <w:r w:rsidR="00783BC2">
              <w:rPr>
                <w:rFonts w:ascii="Times New Roman" w:hAnsi="Times New Roman" w:cs="Times New Roman"/>
                <w:sz w:val="20"/>
                <w:szCs w:val="20"/>
              </w:rPr>
              <w:t>etrahydrofuran</w:t>
            </w:r>
            <w:proofErr w:type="spellEnd"/>
            <w:r w:rsidR="00783BC2">
              <w:rPr>
                <w:rFonts w:ascii="Times New Roman" w:hAnsi="Times New Roman" w:cs="Times New Roman"/>
                <w:sz w:val="20"/>
                <w:szCs w:val="20"/>
              </w:rPr>
              <w:t xml:space="preserve"> (109-99-9)</w:t>
            </w:r>
          </w:p>
        </w:tc>
        <w:tc>
          <w:tcPr>
            <w:tcW w:w="5940" w:type="dxa"/>
          </w:tcPr>
          <w:p w:rsidR="002E1349" w:rsidRDefault="002E1349" w:rsidP="00B76E5E">
            <w:pPr>
              <w:contextualSpacing/>
              <w:rPr>
                <w:rFonts w:ascii="Times New Roman" w:hAnsi="Times New Roman" w:cs="Times New Roman"/>
                <w:sz w:val="20"/>
                <w:szCs w:val="20"/>
              </w:rPr>
            </w:pPr>
            <w:r>
              <w:rPr>
                <w:rFonts w:ascii="Times New Roman" w:hAnsi="Times New Roman" w:cs="Times New Roman"/>
                <w:sz w:val="20"/>
                <w:szCs w:val="20"/>
              </w:rPr>
              <w:t>Flammable, peroxide forming, carcinogen, target organ toxicity</w:t>
            </w:r>
          </w:p>
        </w:tc>
      </w:tr>
      <w:tr w:rsidR="00354845" w:rsidTr="003E4802">
        <w:tc>
          <w:tcPr>
            <w:tcW w:w="3348" w:type="dxa"/>
          </w:tcPr>
          <w:p w:rsidR="00354845" w:rsidRDefault="00354845" w:rsidP="00783BC2">
            <w:pPr>
              <w:contextualSpacing/>
              <w:rPr>
                <w:rFonts w:ascii="Times New Roman" w:hAnsi="Times New Roman" w:cs="Times New Roman"/>
                <w:sz w:val="20"/>
                <w:szCs w:val="20"/>
              </w:rPr>
            </w:pPr>
            <w:r>
              <w:rPr>
                <w:rFonts w:ascii="Times New Roman" w:hAnsi="Times New Roman" w:cs="Times New Roman"/>
                <w:sz w:val="20"/>
                <w:szCs w:val="20"/>
              </w:rPr>
              <w:t>Hexanes (110-54-3)</w:t>
            </w:r>
          </w:p>
        </w:tc>
        <w:tc>
          <w:tcPr>
            <w:tcW w:w="5940" w:type="dxa"/>
          </w:tcPr>
          <w:p w:rsidR="00354845" w:rsidRDefault="00354845" w:rsidP="00B76E5E">
            <w:pPr>
              <w:contextualSpacing/>
              <w:rPr>
                <w:rFonts w:ascii="Times New Roman" w:hAnsi="Times New Roman" w:cs="Times New Roman"/>
                <w:sz w:val="20"/>
                <w:szCs w:val="20"/>
              </w:rPr>
            </w:pPr>
            <w:r>
              <w:rPr>
                <w:rFonts w:ascii="Times New Roman" w:hAnsi="Times New Roman" w:cs="Times New Roman"/>
                <w:sz w:val="20"/>
                <w:szCs w:val="20"/>
              </w:rPr>
              <w:t>Flammable, health hazard</w:t>
            </w:r>
          </w:p>
        </w:tc>
      </w:tr>
      <w:tr w:rsidR="00354845" w:rsidTr="003E4802">
        <w:tc>
          <w:tcPr>
            <w:tcW w:w="3348" w:type="dxa"/>
          </w:tcPr>
          <w:p w:rsidR="00354845" w:rsidRDefault="00354845" w:rsidP="00783BC2">
            <w:pPr>
              <w:contextualSpacing/>
              <w:rPr>
                <w:rFonts w:ascii="Times New Roman" w:hAnsi="Times New Roman" w:cs="Times New Roman"/>
                <w:sz w:val="20"/>
                <w:szCs w:val="20"/>
              </w:rPr>
            </w:pPr>
            <w:r>
              <w:rPr>
                <w:rFonts w:ascii="Times New Roman" w:hAnsi="Times New Roman" w:cs="Times New Roman"/>
                <w:sz w:val="20"/>
                <w:szCs w:val="20"/>
              </w:rPr>
              <w:t>Acetone (67-65-1)</w:t>
            </w:r>
          </w:p>
        </w:tc>
        <w:tc>
          <w:tcPr>
            <w:tcW w:w="5940" w:type="dxa"/>
          </w:tcPr>
          <w:p w:rsidR="00354845" w:rsidRDefault="00354845" w:rsidP="00B76E5E">
            <w:pPr>
              <w:contextualSpacing/>
              <w:rPr>
                <w:rFonts w:ascii="Times New Roman" w:hAnsi="Times New Roman" w:cs="Times New Roman"/>
                <w:sz w:val="20"/>
                <w:szCs w:val="20"/>
              </w:rPr>
            </w:pPr>
            <w:r>
              <w:rPr>
                <w:rFonts w:ascii="Times New Roman" w:hAnsi="Times New Roman" w:cs="Times New Roman"/>
                <w:sz w:val="20"/>
                <w:szCs w:val="20"/>
              </w:rPr>
              <w:t xml:space="preserve">Flammable </w:t>
            </w:r>
          </w:p>
        </w:tc>
      </w:tr>
    </w:tbl>
    <w:p w:rsidR="005C6F4B" w:rsidRDefault="005C6F4B" w:rsidP="00B76E5E">
      <w:pPr>
        <w:contextualSpacing/>
        <w:rPr>
          <w:rFonts w:ascii="Times New Roman" w:hAnsi="Times New Roman" w:cs="Times New Roman"/>
          <w:b/>
          <w:sz w:val="20"/>
          <w:szCs w:val="20"/>
        </w:rPr>
      </w:pPr>
    </w:p>
    <w:p w:rsidR="00B5024A" w:rsidRPr="007944F5" w:rsidRDefault="0036040E" w:rsidP="00B5024A">
      <w:pPr>
        <w:contextualSpacing/>
        <w:rPr>
          <w:rFonts w:ascii="Times New Roman" w:hAnsi="Times New Roman" w:cs="Times New Roman"/>
          <w:sz w:val="20"/>
          <w:szCs w:val="20"/>
        </w:rPr>
      </w:pPr>
      <w:r>
        <w:rPr>
          <w:rFonts w:ascii="Times New Roman" w:hAnsi="Times New Roman" w:cs="Times New Roman"/>
          <w:sz w:val="20"/>
          <w:szCs w:val="20"/>
          <w:u w:val="single"/>
        </w:rPr>
        <w:t>Relevant References for Material Hazards:</w:t>
      </w:r>
    </w:p>
    <w:tbl>
      <w:tblPr>
        <w:tblStyle w:val="TableGrid"/>
        <w:tblW w:w="0" w:type="auto"/>
        <w:tblInd w:w="738" w:type="dxa"/>
        <w:tblLook w:val="04A0" w:firstRow="1" w:lastRow="0" w:firstColumn="1" w:lastColumn="0" w:noHBand="0" w:noVBand="1"/>
      </w:tblPr>
      <w:tblGrid>
        <w:gridCol w:w="8838"/>
      </w:tblGrid>
      <w:tr w:rsidR="00B5024A" w:rsidTr="00B5024A">
        <w:trPr>
          <w:trHeight w:val="368"/>
        </w:trPr>
        <w:tc>
          <w:tcPr>
            <w:tcW w:w="8838" w:type="dxa"/>
          </w:tcPr>
          <w:p w:rsidR="00B5024A" w:rsidRPr="00464434" w:rsidRDefault="00C84513" w:rsidP="00E122C9">
            <w:pPr>
              <w:contextualSpacing/>
              <w:rPr>
                <w:rFonts w:ascii="Times New Roman" w:hAnsi="Times New Roman" w:cs="Times New Roman"/>
                <w:sz w:val="20"/>
                <w:szCs w:val="20"/>
              </w:rPr>
            </w:pPr>
            <w:r w:rsidRPr="00464434">
              <w:rPr>
                <w:rFonts w:ascii="Times New Roman" w:hAnsi="Times New Roman" w:cs="Times New Roman"/>
                <w:sz w:val="20"/>
                <w:szCs w:val="20"/>
              </w:rPr>
              <w:t>All found on Aldrich.com</w:t>
            </w:r>
          </w:p>
          <w:p w:rsidR="00C84513" w:rsidRPr="00464434" w:rsidRDefault="002E1349" w:rsidP="00E122C9">
            <w:pPr>
              <w:contextualSpacing/>
              <w:rPr>
                <w:rFonts w:ascii="Times New Roman" w:hAnsi="Times New Roman" w:cs="Times New Roman"/>
                <w:sz w:val="20"/>
                <w:szCs w:val="20"/>
              </w:rPr>
            </w:pPr>
            <w:r>
              <w:rPr>
                <w:rFonts w:ascii="Times New Roman" w:hAnsi="Times New Roman" w:cs="Times New Roman"/>
                <w:sz w:val="20"/>
                <w:szCs w:val="20"/>
              </w:rPr>
              <w:t>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pdt</w:t>
            </w:r>
            <w:proofErr w:type="spellEnd"/>
            <w:r>
              <w:rPr>
                <w:rFonts w:ascii="Times New Roman" w:hAnsi="Times New Roman" w:cs="Times New Roman"/>
                <w:sz w:val="20"/>
                <w:szCs w:val="20"/>
              </w:rPr>
              <w:t xml:space="preserve"> # 230707 </w:t>
            </w:r>
          </w:p>
          <w:p w:rsidR="00C84513" w:rsidRPr="00464434" w:rsidRDefault="002E1349" w:rsidP="00E122C9">
            <w:pPr>
              <w:contextualSpacing/>
              <w:rPr>
                <w:rFonts w:ascii="Times New Roman" w:hAnsi="Times New Roman" w:cs="Times New Roman"/>
                <w:sz w:val="20"/>
                <w:szCs w:val="20"/>
              </w:rPr>
            </w:pPr>
            <w:r>
              <w:rPr>
                <w:rFonts w:ascii="Times New Roman" w:hAnsi="Times New Roman" w:cs="Times New Roman"/>
                <w:sz w:val="20"/>
                <w:szCs w:val="20"/>
              </w:rPr>
              <w:t>Menthol</w:t>
            </w:r>
            <w:r w:rsidR="00C84513" w:rsidRPr="00464434">
              <w:rPr>
                <w:rFonts w:ascii="Times New Roman" w:hAnsi="Times New Roman" w:cs="Times New Roman"/>
                <w:sz w:val="20"/>
                <w:szCs w:val="20"/>
              </w:rPr>
              <w:t xml:space="preserve">- </w:t>
            </w:r>
            <w:proofErr w:type="spellStart"/>
            <w:r w:rsidR="00C84513" w:rsidRPr="00464434">
              <w:rPr>
                <w:rFonts w:ascii="Times New Roman" w:hAnsi="Times New Roman" w:cs="Times New Roman"/>
                <w:sz w:val="20"/>
                <w:szCs w:val="20"/>
              </w:rPr>
              <w:t>pdt</w:t>
            </w:r>
            <w:proofErr w:type="spellEnd"/>
            <w:r w:rsidR="00C84513" w:rsidRPr="00464434">
              <w:rPr>
                <w:rFonts w:ascii="Times New Roman" w:hAnsi="Times New Roman" w:cs="Times New Roman"/>
                <w:sz w:val="20"/>
                <w:szCs w:val="20"/>
              </w:rPr>
              <w:t xml:space="preserve"> # </w:t>
            </w:r>
            <w:r>
              <w:rPr>
                <w:rFonts w:ascii="Times New Roman" w:hAnsi="Times New Roman" w:cs="Times New Roman"/>
                <w:sz w:val="20"/>
                <w:szCs w:val="20"/>
              </w:rPr>
              <w:t>M2772</w:t>
            </w:r>
          </w:p>
          <w:p w:rsidR="00C84513" w:rsidRDefault="002E1349" w:rsidP="002E1349">
            <w:pPr>
              <w:contextualSpacing/>
              <w:rPr>
                <w:rFonts w:ascii="Times New Roman" w:hAnsi="Times New Roman" w:cs="Times New Roman"/>
                <w:sz w:val="20"/>
                <w:szCs w:val="20"/>
              </w:rPr>
            </w:pPr>
            <w:r>
              <w:rPr>
                <w:rFonts w:ascii="Times New Roman" w:hAnsi="Times New Roman" w:cs="Times New Roman"/>
                <w:sz w:val="20"/>
                <w:szCs w:val="20"/>
              </w:rPr>
              <w:t>2,2’-bipyridyl</w:t>
            </w:r>
            <w:r w:rsidR="00C84513" w:rsidRPr="00464434">
              <w:rPr>
                <w:rFonts w:ascii="Times New Roman" w:hAnsi="Times New Roman" w:cs="Times New Roman"/>
                <w:sz w:val="20"/>
                <w:szCs w:val="20"/>
              </w:rPr>
              <w:t xml:space="preserve">- </w:t>
            </w:r>
            <w:proofErr w:type="spellStart"/>
            <w:r w:rsidR="00C84513" w:rsidRPr="00464434">
              <w:rPr>
                <w:rFonts w:ascii="Times New Roman" w:hAnsi="Times New Roman" w:cs="Times New Roman"/>
                <w:sz w:val="20"/>
                <w:szCs w:val="20"/>
              </w:rPr>
              <w:t>pdt</w:t>
            </w:r>
            <w:proofErr w:type="spellEnd"/>
            <w:r w:rsidR="00C84513" w:rsidRPr="00464434">
              <w:rPr>
                <w:rFonts w:ascii="Times New Roman" w:hAnsi="Times New Roman" w:cs="Times New Roman"/>
                <w:sz w:val="20"/>
                <w:szCs w:val="20"/>
              </w:rPr>
              <w:t xml:space="preserve"> # </w:t>
            </w:r>
            <w:r>
              <w:rPr>
                <w:rFonts w:ascii="Times New Roman" w:hAnsi="Times New Roman" w:cs="Times New Roman"/>
                <w:sz w:val="20"/>
                <w:szCs w:val="20"/>
              </w:rPr>
              <w:t>D216305</w:t>
            </w:r>
          </w:p>
          <w:p w:rsidR="002E1349" w:rsidRDefault="002E1349" w:rsidP="002E1349">
            <w:pPr>
              <w:contextualSpacing/>
              <w:rPr>
                <w:rFonts w:ascii="Times New Roman" w:hAnsi="Times New Roman" w:cs="Times New Roman"/>
                <w:sz w:val="20"/>
                <w:szCs w:val="20"/>
              </w:rPr>
            </w:pPr>
            <w:proofErr w:type="spellStart"/>
            <w:r>
              <w:rPr>
                <w:rFonts w:ascii="Times New Roman" w:hAnsi="Times New Roman" w:cs="Times New Roman"/>
                <w:sz w:val="20"/>
                <w:szCs w:val="20"/>
              </w:rPr>
              <w:t>Tetrahydrofuran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pdt</w:t>
            </w:r>
            <w:proofErr w:type="spellEnd"/>
            <w:r>
              <w:rPr>
                <w:rFonts w:ascii="Times New Roman" w:hAnsi="Times New Roman" w:cs="Times New Roman"/>
                <w:sz w:val="20"/>
                <w:szCs w:val="20"/>
              </w:rPr>
              <w:t xml:space="preserve"> #401757</w:t>
            </w:r>
          </w:p>
          <w:p w:rsidR="00D644B6" w:rsidRDefault="00D644B6" w:rsidP="002E1349">
            <w:pPr>
              <w:contextualSpacing/>
              <w:rPr>
                <w:rFonts w:ascii="Times New Roman" w:hAnsi="Times New Roman" w:cs="Times New Roman"/>
                <w:sz w:val="20"/>
                <w:szCs w:val="20"/>
              </w:rPr>
            </w:pPr>
            <w:r>
              <w:rPr>
                <w:rFonts w:ascii="Times New Roman" w:hAnsi="Times New Roman" w:cs="Times New Roman"/>
                <w:sz w:val="20"/>
                <w:szCs w:val="20"/>
              </w:rPr>
              <w:t>Hexanes</w:t>
            </w:r>
            <w:r w:rsidR="00D82B48">
              <w:rPr>
                <w:rFonts w:ascii="Times New Roman" w:hAnsi="Times New Roman" w:cs="Times New Roman"/>
                <w:sz w:val="20"/>
                <w:szCs w:val="20"/>
              </w:rPr>
              <w:t>-</w:t>
            </w:r>
            <w:proofErr w:type="spellStart"/>
            <w:r w:rsidR="00D82B48">
              <w:rPr>
                <w:rFonts w:ascii="Times New Roman" w:hAnsi="Times New Roman" w:cs="Times New Roman"/>
                <w:sz w:val="20"/>
                <w:szCs w:val="20"/>
              </w:rPr>
              <w:t>pdt</w:t>
            </w:r>
            <w:proofErr w:type="spellEnd"/>
            <w:r w:rsidR="00D82B48">
              <w:rPr>
                <w:rFonts w:ascii="Times New Roman" w:hAnsi="Times New Roman" w:cs="Times New Roman"/>
                <w:sz w:val="20"/>
                <w:szCs w:val="20"/>
              </w:rPr>
              <w:t xml:space="preserve"> #320110</w:t>
            </w:r>
          </w:p>
          <w:p w:rsidR="00D644B6" w:rsidRPr="002E1349" w:rsidRDefault="00D644B6" w:rsidP="002E1349">
            <w:pPr>
              <w:contextualSpacing/>
              <w:rPr>
                <w:rFonts w:ascii="Times New Roman" w:hAnsi="Times New Roman" w:cs="Times New Roman"/>
                <w:sz w:val="20"/>
                <w:szCs w:val="20"/>
              </w:rPr>
            </w:pPr>
            <w:r>
              <w:rPr>
                <w:rFonts w:ascii="Times New Roman" w:hAnsi="Times New Roman" w:cs="Times New Roman"/>
                <w:sz w:val="20"/>
                <w:szCs w:val="20"/>
              </w:rPr>
              <w:t>Acetone</w:t>
            </w:r>
            <w:r w:rsidR="00D82B48">
              <w:rPr>
                <w:rFonts w:ascii="Times New Roman" w:hAnsi="Times New Roman" w:cs="Times New Roman"/>
                <w:sz w:val="20"/>
                <w:szCs w:val="20"/>
              </w:rPr>
              <w:t>-</w:t>
            </w:r>
            <w:proofErr w:type="spellStart"/>
            <w:r w:rsidR="00D82B48">
              <w:rPr>
                <w:rFonts w:ascii="Times New Roman" w:hAnsi="Times New Roman" w:cs="Times New Roman"/>
                <w:sz w:val="20"/>
                <w:szCs w:val="20"/>
              </w:rPr>
              <w:t>pdt</w:t>
            </w:r>
            <w:proofErr w:type="spellEnd"/>
            <w:r w:rsidR="00D82B48">
              <w:rPr>
                <w:rFonts w:ascii="Times New Roman" w:hAnsi="Times New Roman" w:cs="Times New Roman"/>
                <w:sz w:val="20"/>
                <w:szCs w:val="20"/>
              </w:rPr>
              <w:t xml:space="preserve"> #296090</w:t>
            </w:r>
          </w:p>
        </w:tc>
      </w:tr>
    </w:tbl>
    <w:p w:rsidR="003E4802" w:rsidRDefault="003E4802" w:rsidP="00B76E5E">
      <w:pPr>
        <w:contextualSpacing/>
        <w:rPr>
          <w:rFonts w:ascii="Times New Roman" w:hAnsi="Times New Roman" w:cs="Times New Roman"/>
          <w:sz w:val="20"/>
          <w:szCs w:val="20"/>
          <w:u w:val="single"/>
        </w:rPr>
      </w:pPr>
    </w:p>
    <w:p w:rsidR="003E4802" w:rsidRDefault="0036040E" w:rsidP="00B76E5E">
      <w:pPr>
        <w:contextualSpacing/>
        <w:rPr>
          <w:rFonts w:ascii="Times New Roman" w:hAnsi="Times New Roman" w:cs="Times New Roman"/>
          <w:sz w:val="20"/>
          <w:szCs w:val="20"/>
          <w:u w:val="single"/>
        </w:rPr>
      </w:pPr>
      <w:r>
        <w:rPr>
          <w:rFonts w:ascii="Times New Roman" w:hAnsi="Times New Roman" w:cs="Times New Roman"/>
          <w:sz w:val="20"/>
          <w:szCs w:val="20"/>
          <w:u w:val="single"/>
        </w:rPr>
        <w:t>Equipment hazards:</w:t>
      </w:r>
    </w:p>
    <w:p w:rsidR="003E4802" w:rsidRDefault="0036040E" w:rsidP="00025E33">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sz w:val="20"/>
          <w:szCs w:val="20"/>
        </w:rPr>
      </w:pPr>
      <w:r>
        <w:rPr>
          <w:rFonts w:ascii="Times New Roman" w:hAnsi="Times New Roman" w:cs="Times New Roman"/>
          <w:sz w:val="20"/>
          <w:szCs w:val="20"/>
        </w:rPr>
        <w:t>Equipment</w:t>
      </w:r>
      <w:r w:rsidR="00C84513" w:rsidRPr="00464434">
        <w:rPr>
          <w:rFonts w:ascii="Times New Roman" w:hAnsi="Times New Roman" w:cs="Times New Roman"/>
          <w:sz w:val="20"/>
          <w:szCs w:val="20"/>
        </w:rPr>
        <w:t xml:space="preserve"> is</w:t>
      </w:r>
      <w:r w:rsidR="00324B6C">
        <w:rPr>
          <w:rFonts w:ascii="Times New Roman" w:hAnsi="Times New Roman" w:cs="Times New Roman"/>
          <w:sz w:val="20"/>
          <w:szCs w:val="20"/>
        </w:rPr>
        <w:t xml:space="preserve"> considered</w:t>
      </w:r>
      <w:r w:rsidR="00C84513" w:rsidRPr="00464434">
        <w:rPr>
          <w:rFonts w:ascii="Times New Roman" w:hAnsi="Times New Roman" w:cs="Times New Roman"/>
          <w:sz w:val="20"/>
          <w:szCs w:val="20"/>
        </w:rPr>
        <w:t xml:space="preserve"> low hazard.</w:t>
      </w:r>
    </w:p>
    <w:p w:rsidR="007944F5" w:rsidRDefault="007944F5" w:rsidP="003E4802">
      <w:pPr>
        <w:contextualSpacing/>
        <w:rPr>
          <w:rFonts w:ascii="Times New Roman" w:hAnsi="Times New Roman" w:cs="Times New Roman"/>
          <w:sz w:val="20"/>
          <w:szCs w:val="24"/>
          <w:u w:val="single"/>
        </w:rPr>
      </w:pPr>
    </w:p>
    <w:p w:rsidR="00421527" w:rsidRDefault="00CC55AD" w:rsidP="003E4802">
      <w:pPr>
        <w:contextualSpacing/>
        <w:rPr>
          <w:rFonts w:ascii="Times New Roman" w:hAnsi="Times New Roman" w:cs="Times New Roman"/>
          <w:sz w:val="20"/>
          <w:szCs w:val="24"/>
          <w:u w:val="single"/>
        </w:rPr>
      </w:pPr>
      <w:r w:rsidRPr="00CC55AD">
        <w:rPr>
          <w:rFonts w:ascii="Times New Roman" w:hAnsi="Times New Roman" w:cs="Times New Roman"/>
          <w:sz w:val="20"/>
          <w:szCs w:val="24"/>
          <w:u w:val="single"/>
        </w:rPr>
        <w:t>Hazardous Conditions:</w:t>
      </w:r>
    </w:p>
    <w:p w:rsidR="00CC55AD" w:rsidRPr="00464434" w:rsidRDefault="004C7E8C" w:rsidP="00CC55AD">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sz w:val="20"/>
          <w:szCs w:val="20"/>
        </w:rPr>
      </w:pPr>
      <w:r>
        <w:rPr>
          <w:rFonts w:ascii="Times New Roman" w:hAnsi="Times New Roman" w:cs="Times New Roman"/>
          <w:sz w:val="20"/>
          <w:szCs w:val="20"/>
        </w:rPr>
        <w:t>Conditions are considered low hazard.</w:t>
      </w:r>
    </w:p>
    <w:p w:rsidR="004E2EE2" w:rsidRPr="00464434" w:rsidRDefault="0036040E" w:rsidP="004E2EE2">
      <w:pPr>
        <w:contextualSpacing/>
        <w:rPr>
          <w:rFonts w:ascii="Times New Roman" w:hAnsi="Times New Roman" w:cs="Times New Roman"/>
          <w:sz w:val="20"/>
          <w:szCs w:val="20"/>
          <w:u w:val="single"/>
        </w:rPr>
      </w:pPr>
      <w:r>
        <w:rPr>
          <w:rFonts w:ascii="Times New Roman" w:hAnsi="Times New Roman" w:cs="Times New Roman"/>
          <w:sz w:val="20"/>
          <w:szCs w:val="20"/>
          <w:u w:val="single"/>
        </w:rPr>
        <w:lastRenderedPageBreak/>
        <w:t>Technique Hazards:</w:t>
      </w:r>
    </w:p>
    <w:p w:rsidR="004E2EE2" w:rsidRDefault="004E2EE2" w:rsidP="004E2EE2">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sz w:val="20"/>
          <w:szCs w:val="20"/>
        </w:rPr>
      </w:pPr>
      <w:proofErr w:type="gramStart"/>
      <w:r>
        <w:rPr>
          <w:rFonts w:ascii="Times New Roman" w:hAnsi="Times New Roman" w:cs="Times New Roman"/>
          <w:sz w:val="20"/>
          <w:szCs w:val="20"/>
        </w:rPr>
        <w:t>Transferring n-</w:t>
      </w:r>
      <w:proofErr w:type="spellStart"/>
      <w:r>
        <w:rPr>
          <w:rFonts w:ascii="Times New Roman" w:hAnsi="Times New Roman" w:cs="Times New Roman"/>
          <w:sz w:val="20"/>
          <w:szCs w:val="20"/>
        </w:rPr>
        <w:t>BuLi</w:t>
      </w:r>
      <w:proofErr w:type="spellEnd"/>
      <w:r w:rsidR="0036040E">
        <w:rPr>
          <w:rFonts w:ascii="Times New Roman" w:hAnsi="Times New Roman" w:cs="Times New Roman"/>
          <w:sz w:val="20"/>
          <w:szCs w:val="20"/>
        </w:rPr>
        <w:t xml:space="preserve"> via syringe</w:t>
      </w:r>
      <w:r>
        <w:rPr>
          <w:rFonts w:ascii="Times New Roman" w:hAnsi="Times New Roman" w:cs="Times New Roman"/>
          <w:sz w:val="20"/>
          <w:szCs w:val="20"/>
        </w:rPr>
        <w:t>.</w:t>
      </w:r>
      <w:proofErr w:type="gramEnd"/>
    </w:p>
    <w:p w:rsidR="004E2EE2" w:rsidRDefault="004E2EE2" w:rsidP="004E2EE2">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sz w:val="20"/>
          <w:szCs w:val="20"/>
        </w:rPr>
      </w:pPr>
      <w:proofErr w:type="gramStart"/>
      <w:r>
        <w:rPr>
          <w:rFonts w:ascii="Times New Roman" w:hAnsi="Times New Roman" w:cs="Times New Roman"/>
          <w:sz w:val="20"/>
          <w:szCs w:val="20"/>
        </w:rPr>
        <w:t>Rinsing excess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from syringe.</w:t>
      </w:r>
      <w:proofErr w:type="gramEnd"/>
    </w:p>
    <w:p w:rsidR="004E2EE2" w:rsidRPr="00464434" w:rsidRDefault="004E2EE2" w:rsidP="004E2EE2">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sz w:val="20"/>
          <w:szCs w:val="20"/>
        </w:rPr>
      </w:pPr>
      <w:proofErr w:type="gramStart"/>
      <w:r>
        <w:rPr>
          <w:rFonts w:ascii="Times New Roman" w:hAnsi="Times New Roman" w:cs="Times New Roman"/>
          <w:sz w:val="20"/>
          <w:szCs w:val="20"/>
        </w:rPr>
        <w:t>Quenching excess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w:t>
      </w:r>
      <w:proofErr w:type="gramEnd"/>
    </w:p>
    <w:p w:rsidR="00CC55AD" w:rsidRDefault="00CC55AD" w:rsidP="003E4802">
      <w:pPr>
        <w:contextualSpacing/>
        <w:rPr>
          <w:rFonts w:ascii="Times New Roman" w:hAnsi="Times New Roman" w:cs="Times New Roman"/>
          <w:b/>
          <w:sz w:val="24"/>
          <w:szCs w:val="24"/>
        </w:rPr>
      </w:pPr>
    </w:p>
    <w:p w:rsidR="00CC55AD" w:rsidRPr="007944F5" w:rsidRDefault="00CC55AD" w:rsidP="003E4802">
      <w:pPr>
        <w:contextualSpacing/>
        <w:rPr>
          <w:rFonts w:ascii="Times New Roman" w:hAnsi="Times New Roman" w:cs="Times New Roman"/>
          <w:sz w:val="24"/>
          <w:szCs w:val="24"/>
          <w:u w:val="single"/>
        </w:rPr>
      </w:pPr>
    </w:p>
    <w:p w:rsidR="003E4802" w:rsidRPr="007944F5" w:rsidRDefault="0024146D" w:rsidP="003E4802">
      <w:pPr>
        <w:contextualSpacing/>
        <w:rPr>
          <w:rFonts w:ascii="Times New Roman" w:hAnsi="Times New Roman" w:cs="Times New Roman"/>
          <w:sz w:val="20"/>
          <w:szCs w:val="20"/>
          <w:u w:val="single"/>
        </w:rPr>
      </w:pPr>
      <w:r w:rsidRPr="007944F5">
        <w:rPr>
          <w:rFonts w:ascii="Times New Roman" w:hAnsi="Times New Roman" w:cs="Times New Roman"/>
          <w:sz w:val="20"/>
          <w:szCs w:val="20"/>
          <w:u w:val="single"/>
        </w:rPr>
        <w:t>Personal Protective Equipment</w:t>
      </w:r>
    </w:p>
    <w:p w:rsidR="00873D21" w:rsidRDefault="00873D21"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The following are in addition to proper dress for work in a laboratory:</w:t>
      </w:r>
    </w:p>
    <w:p w:rsidR="0024146D" w:rsidRPr="00464434" w:rsidRDefault="00B33702"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sidRPr="00464434">
        <w:rPr>
          <w:rFonts w:ascii="Times New Roman" w:hAnsi="Times New Roman" w:cs="Times New Roman"/>
          <w:sz w:val="20"/>
          <w:szCs w:val="20"/>
        </w:rPr>
        <w:t>Safety glasses (minimum)</w:t>
      </w:r>
      <w:r w:rsidR="006A1AB1">
        <w:rPr>
          <w:rFonts w:ascii="Times New Roman" w:hAnsi="Times New Roman" w:cs="Times New Roman"/>
          <w:sz w:val="20"/>
          <w:szCs w:val="20"/>
        </w:rPr>
        <w:t>;</w:t>
      </w:r>
    </w:p>
    <w:p w:rsidR="00B33702" w:rsidRPr="00464434" w:rsidRDefault="00B33702"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sidRPr="00464434">
        <w:rPr>
          <w:rFonts w:ascii="Times New Roman" w:hAnsi="Times New Roman" w:cs="Times New Roman"/>
          <w:sz w:val="20"/>
          <w:szCs w:val="20"/>
        </w:rPr>
        <w:t>Nitrile</w:t>
      </w:r>
      <w:r w:rsidR="00464434">
        <w:rPr>
          <w:rFonts w:ascii="Times New Roman" w:hAnsi="Times New Roman" w:cs="Times New Roman"/>
          <w:sz w:val="20"/>
          <w:szCs w:val="20"/>
        </w:rPr>
        <w:t xml:space="preserve"> disposable</w:t>
      </w:r>
      <w:r w:rsidRPr="00464434">
        <w:rPr>
          <w:rFonts w:ascii="Times New Roman" w:hAnsi="Times New Roman" w:cs="Times New Roman"/>
          <w:sz w:val="20"/>
          <w:szCs w:val="20"/>
        </w:rPr>
        <w:t xml:space="preserve"> gloves (minimum)</w:t>
      </w:r>
      <w:r w:rsidR="004C7E8C">
        <w:rPr>
          <w:rFonts w:ascii="Times New Roman" w:hAnsi="Times New Roman" w:cs="Times New Roman"/>
          <w:sz w:val="20"/>
          <w:szCs w:val="20"/>
        </w:rPr>
        <w:t>, fire retardant gloves under nitrile gloves are a possibility</w:t>
      </w:r>
      <w:r w:rsidR="006A1AB1">
        <w:rPr>
          <w:rFonts w:ascii="Times New Roman" w:hAnsi="Times New Roman" w:cs="Times New Roman"/>
          <w:sz w:val="20"/>
          <w:szCs w:val="20"/>
        </w:rPr>
        <w:t>;</w:t>
      </w:r>
    </w:p>
    <w:p w:rsidR="00B33702" w:rsidRPr="00464434" w:rsidRDefault="004C7E8C"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Flame resistant lab coat</w:t>
      </w:r>
    </w:p>
    <w:p w:rsidR="007944F5" w:rsidRDefault="007944F5" w:rsidP="003E4802">
      <w:pPr>
        <w:contextualSpacing/>
        <w:rPr>
          <w:rFonts w:ascii="Times New Roman" w:hAnsi="Times New Roman" w:cs="Times New Roman"/>
          <w:b/>
          <w:sz w:val="20"/>
          <w:szCs w:val="20"/>
        </w:rPr>
      </w:pPr>
    </w:p>
    <w:p w:rsidR="000A398E" w:rsidRPr="007944F5" w:rsidRDefault="000A398E" w:rsidP="003E4802">
      <w:pPr>
        <w:contextualSpacing/>
        <w:rPr>
          <w:rFonts w:ascii="Times New Roman" w:hAnsi="Times New Roman" w:cs="Times New Roman"/>
          <w:sz w:val="20"/>
          <w:szCs w:val="20"/>
          <w:u w:val="single"/>
        </w:rPr>
      </w:pPr>
      <w:r w:rsidRPr="007944F5">
        <w:rPr>
          <w:rFonts w:ascii="Times New Roman" w:hAnsi="Times New Roman" w:cs="Times New Roman"/>
          <w:sz w:val="20"/>
          <w:szCs w:val="20"/>
          <w:u w:val="single"/>
        </w:rPr>
        <w:t>Engineering Controls</w:t>
      </w:r>
    </w:p>
    <w:p w:rsidR="000A398E" w:rsidRPr="00464434" w:rsidRDefault="004C7E8C"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 xml:space="preserve">This </w:t>
      </w:r>
      <w:r w:rsidR="00B41DD1">
        <w:rPr>
          <w:rFonts w:ascii="Times New Roman" w:hAnsi="Times New Roman" w:cs="Times New Roman"/>
          <w:sz w:val="20"/>
          <w:szCs w:val="20"/>
        </w:rPr>
        <w:t>procedure</w:t>
      </w:r>
      <w:r>
        <w:rPr>
          <w:rFonts w:ascii="Times New Roman" w:hAnsi="Times New Roman" w:cs="Times New Roman"/>
          <w:sz w:val="20"/>
          <w:szCs w:val="20"/>
        </w:rPr>
        <w:t xml:space="preserve"> is done in a chemical fume hood.</w:t>
      </w:r>
    </w:p>
    <w:p w:rsidR="00421527" w:rsidRPr="000A398E" w:rsidRDefault="00421527" w:rsidP="003E4802">
      <w:pPr>
        <w:contextualSpacing/>
        <w:rPr>
          <w:rFonts w:ascii="Times New Roman" w:hAnsi="Times New Roman" w:cs="Times New Roman"/>
          <w:i/>
          <w:sz w:val="20"/>
          <w:szCs w:val="20"/>
        </w:rPr>
      </w:pPr>
    </w:p>
    <w:p w:rsidR="0024146D" w:rsidRPr="00421527" w:rsidRDefault="00421527" w:rsidP="003E4802">
      <w:pPr>
        <w:contextualSpacing/>
        <w:rPr>
          <w:rFonts w:ascii="Times New Roman" w:hAnsi="Times New Roman" w:cs="Times New Roman"/>
          <w:b/>
          <w:sz w:val="24"/>
          <w:szCs w:val="24"/>
        </w:rPr>
      </w:pPr>
      <w:r w:rsidRPr="00421527">
        <w:rPr>
          <w:rFonts w:ascii="Times New Roman" w:hAnsi="Times New Roman" w:cs="Times New Roman"/>
          <w:b/>
          <w:sz w:val="24"/>
          <w:szCs w:val="24"/>
        </w:rPr>
        <w:t xml:space="preserve">Section </w:t>
      </w:r>
      <w:r w:rsidR="004471BC">
        <w:rPr>
          <w:rFonts w:ascii="Times New Roman" w:hAnsi="Times New Roman" w:cs="Times New Roman"/>
          <w:b/>
          <w:sz w:val="24"/>
          <w:szCs w:val="24"/>
        </w:rPr>
        <w:t>3</w:t>
      </w:r>
      <w:r w:rsidRPr="00421527">
        <w:rPr>
          <w:rFonts w:ascii="Times New Roman" w:hAnsi="Times New Roman" w:cs="Times New Roman"/>
          <w:b/>
          <w:sz w:val="24"/>
          <w:szCs w:val="24"/>
        </w:rPr>
        <w:t>: Procedure</w:t>
      </w:r>
      <w:r w:rsidR="00FD0D7F">
        <w:rPr>
          <w:rFonts w:ascii="Times New Roman" w:hAnsi="Times New Roman" w:cs="Times New Roman"/>
          <w:b/>
          <w:sz w:val="24"/>
          <w:szCs w:val="24"/>
        </w:rPr>
        <w:t>s</w:t>
      </w:r>
    </w:p>
    <w:p w:rsidR="004C7E8C" w:rsidRDefault="004C7E8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Three oven dried or flame dried 25 mL1-neck flasks equipped with a stir bar, rubber septum, and argon inlet needle are cooled to room temperature under argon (</w:t>
      </w:r>
      <w:r w:rsidR="0036040E">
        <w:rPr>
          <w:rFonts w:ascii="Times New Roman" w:hAnsi="Times New Roman" w:cs="Times New Roman"/>
          <w:sz w:val="20"/>
          <w:szCs w:val="20"/>
        </w:rPr>
        <w:t xml:space="preserve">nitrogen can be used </w:t>
      </w:r>
      <w:r w:rsidR="00B41DD1">
        <w:rPr>
          <w:rFonts w:ascii="Times New Roman" w:hAnsi="Times New Roman" w:cs="Times New Roman"/>
          <w:sz w:val="20"/>
          <w:szCs w:val="20"/>
        </w:rPr>
        <w:t>instead</w:t>
      </w:r>
      <w:r w:rsidR="0036040E">
        <w:rPr>
          <w:rFonts w:ascii="Times New Roman" w:hAnsi="Times New Roman" w:cs="Times New Roman"/>
          <w:sz w:val="20"/>
          <w:szCs w:val="20"/>
        </w:rPr>
        <w:t xml:space="preserve"> of argon</w:t>
      </w:r>
      <w:r>
        <w:rPr>
          <w:rFonts w:ascii="Times New Roman" w:hAnsi="Times New Roman" w:cs="Times New Roman"/>
          <w:sz w:val="20"/>
          <w:szCs w:val="20"/>
        </w:rPr>
        <w:t>)</w:t>
      </w:r>
      <w:r w:rsidR="0036040E">
        <w:rPr>
          <w:rFonts w:ascii="Times New Roman" w:hAnsi="Times New Roman" w:cs="Times New Roman"/>
          <w:sz w:val="20"/>
          <w:szCs w:val="20"/>
        </w:rPr>
        <w:t>.</w:t>
      </w:r>
      <w:r>
        <w:rPr>
          <w:rFonts w:ascii="Times New Roman" w:hAnsi="Times New Roman" w:cs="Times New Roman"/>
          <w:sz w:val="20"/>
          <w:szCs w:val="20"/>
        </w:rPr>
        <w:t xml:space="preserve"> </w:t>
      </w:r>
      <w:r w:rsidR="00F32134">
        <w:rPr>
          <w:rFonts w:ascii="Times New Roman" w:hAnsi="Times New Roman" w:cs="Times New Roman"/>
          <w:sz w:val="20"/>
          <w:szCs w:val="20"/>
        </w:rPr>
        <w:t xml:space="preserve"> Each flask </w:t>
      </w:r>
      <w:r w:rsidR="000A6C4A">
        <w:rPr>
          <w:rFonts w:ascii="Times New Roman" w:hAnsi="Times New Roman" w:cs="Times New Roman"/>
          <w:sz w:val="20"/>
          <w:szCs w:val="20"/>
        </w:rPr>
        <w:t>is</w:t>
      </w:r>
      <w:r w:rsidR="00F32134">
        <w:rPr>
          <w:rFonts w:ascii="Times New Roman" w:hAnsi="Times New Roman" w:cs="Times New Roman"/>
          <w:sz w:val="20"/>
          <w:szCs w:val="20"/>
        </w:rPr>
        <w:t xml:space="preserve"> then charged with ca</w:t>
      </w:r>
      <w:r w:rsidR="00A75A7E">
        <w:rPr>
          <w:rFonts w:ascii="Times New Roman" w:hAnsi="Times New Roman" w:cs="Times New Roman"/>
          <w:sz w:val="20"/>
          <w:szCs w:val="20"/>
        </w:rPr>
        <w:t>.</w:t>
      </w:r>
      <w:r w:rsidR="00F32134">
        <w:rPr>
          <w:rFonts w:ascii="Times New Roman" w:hAnsi="Times New Roman" w:cs="Times New Roman"/>
          <w:sz w:val="20"/>
          <w:szCs w:val="20"/>
        </w:rPr>
        <w:t xml:space="preserve"> 200 mg of menthol by quickly removing the septum. The exact amounts of menthol </w:t>
      </w:r>
      <w:r w:rsidR="000A6C4A">
        <w:rPr>
          <w:rFonts w:ascii="Times New Roman" w:hAnsi="Times New Roman" w:cs="Times New Roman"/>
          <w:sz w:val="20"/>
          <w:szCs w:val="20"/>
        </w:rPr>
        <w:t>are</w:t>
      </w:r>
      <w:r w:rsidR="00F32134">
        <w:rPr>
          <w:rFonts w:ascii="Times New Roman" w:hAnsi="Times New Roman" w:cs="Times New Roman"/>
          <w:sz w:val="20"/>
          <w:szCs w:val="20"/>
        </w:rPr>
        <w:t xml:space="preserve"> recorded</w:t>
      </w:r>
      <w:r w:rsidR="006A1AB1">
        <w:rPr>
          <w:rFonts w:ascii="Times New Roman" w:hAnsi="Times New Roman" w:cs="Times New Roman"/>
          <w:sz w:val="20"/>
          <w:szCs w:val="20"/>
        </w:rPr>
        <w:t xml:space="preserve"> for each of the three flasks</w:t>
      </w:r>
      <w:r w:rsidR="00F32134">
        <w:rPr>
          <w:rFonts w:ascii="Times New Roman" w:hAnsi="Times New Roman" w:cs="Times New Roman"/>
          <w:sz w:val="20"/>
          <w:szCs w:val="20"/>
        </w:rPr>
        <w:t>. Ca. 5 mg of 2</w:t>
      </w:r>
      <w:proofErr w:type="gramStart"/>
      <w:r w:rsidR="00F32134">
        <w:rPr>
          <w:rFonts w:ascii="Times New Roman" w:hAnsi="Times New Roman" w:cs="Times New Roman"/>
          <w:sz w:val="20"/>
          <w:szCs w:val="20"/>
        </w:rPr>
        <w:t>,2’</w:t>
      </w:r>
      <w:proofErr w:type="gramEnd"/>
      <w:r w:rsidR="00F32134">
        <w:rPr>
          <w:rFonts w:ascii="Times New Roman" w:hAnsi="Times New Roman" w:cs="Times New Roman"/>
          <w:sz w:val="20"/>
          <w:szCs w:val="20"/>
        </w:rPr>
        <w:t xml:space="preserve">-bipyridyl </w:t>
      </w:r>
      <w:r w:rsidR="000A6C4A">
        <w:rPr>
          <w:rFonts w:ascii="Times New Roman" w:hAnsi="Times New Roman" w:cs="Times New Roman"/>
          <w:sz w:val="20"/>
          <w:szCs w:val="20"/>
        </w:rPr>
        <w:t>is</w:t>
      </w:r>
      <w:r w:rsidR="00F32134">
        <w:rPr>
          <w:rFonts w:ascii="Times New Roman" w:hAnsi="Times New Roman" w:cs="Times New Roman"/>
          <w:sz w:val="20"/>
          <w:szCs w:val="20"/>
        </w:rPr>
        <w:t xml:space="preserve"> then added to each flask </w:t>
      </w:r>
      <w:r w:rsidR="001427D4">
        <w:rPr>
          <w:rFonts w:ascii="Times New Roman" w:hAnsi="Times New Roman" w:cs="Times New Roman"/>
          <w:sz w:val="20"/>
          <w:szCs w:val="20"/>
        </w:rPr>
        <w:t>by quickly</w:t>
      </w:r>
      <w:r w:rsidR="006A1AB1">
        <w:rPr>
          <w:rFonts w:ascii="Times New Roman" w:hAnsi="Times New Roman" w:cs="Times New Roman"/>
          <w:sz w:val="20"/>
          <w:szCs w:val="20"/>
        </w:rPr>
        <w:t xml:space="preserve"> removing the septum</w:t>
      </w:r>
      <w:r w:rsidR="00F32134">
        <w:rPr>
          <w:rFonts w:ascii="Times New Roman" w:hAnsi="Times New Roman" w:cs="Times New Roman"/>
          <w:sz w:val="20"/>
          <w:szCs w:val="20"/>
        </w:rPr>
        <w:t xml:space="preserve">. The flasks </w:t>
      </w:r>
      <w:r w:rsidR="000A6C4A">
        <w:rPr>
          <w:rFonts w:ascii="Times New Roman" w:hAnsi="Times New Roman" w:cs="Times New Roman"/>
          <w:sz w:val="20"/>
          <w:szCs w:val="20"/>
        </w:rPr>
        <w:t>are</w:t>
      </w:r>
      <w:r w:rsidR="0036040E">
        <w:rPr>
          <w:rFonts w:ascii="Times New Roman" w:hAnsi="Times New Roman" w:cs="Times New Roman"/>
          <w:sz w:val="20"/>
          <w:szCs w:val="20"/>
        </w:rPr>
        <w:t xml:space="preserve"> </w:t>
      </w:r>
      <w:r w:rsidR="00F32134">
        <w:rPr>
          <w:rFonts w:ascii="Times New Roman" w:hAnsi="Times New Roman" w:cs="Times New Roman"/>
          <w:sz w:val="20"/>
          <w:szCs w:val="20"/>
        </w:rPr>
        <w:t xml:space="preserve">evacuated </w:t>
      </w:r>
      <w:r w:rsidR="006A1AB1">
        <w:rPr>
          <w:rFonts w:ascii="Times New Roman" w:hAnsi="Times New Roman" w:cs="Times New Roman"/>
          <w:sz w:val="20"/>
          <w:szCs w:val="20"/>
        </w:rPr>
        <w:t xml:space="preserve">by shutting the inert gas off, opening to vacuum, closing to vacuum, </w:t>
      </w:r>
      <w:r w:rsidR="00F32134">
        <w:rPr>
          <w:rFonts w:ascii="Times New Roman" w:hAnsi="Times New Roman" w:cs="Times New Roman"/>
          <w:sz w:val="20"/>
          <w:szCs w:val="20"/>
        </w:rPr>
        <w:t>and then carefully backfill</w:t>
      </w:r>
      <w:r w:rsidR="006A1AB1">
        <w:rPr>
          <w:rFonts w:ascii="Times New Roman" w:hAnsi="Times New Roman" w:cs="Times New Roman"/>
          <w:sz w:val="20"/>
          <w:szCs w:val="20"/>
        </w:rPr>
        <w:t>ing</w:t>
      </w:r>
      <w:r w:rsidR="00F32134">
        <w:rPr>
          <w:rFonts w:ascii="Times New Roman" w:hAnsi="Times New Roman" w:cs="Times New Roman"/>
          <w:sz w:val="20"/>
          <w:szCs w:val="20"/>
        </w:rPr>
        <w:t xml:space="preserve"> with argon (or nitrogen) to ensure an inert atmosphere.</w:t>
      </w:r>
      <w:r w:rsidR="007F2AAA">
        <w:rPr>
          <w:rFonts w:ascii="Times New Roman" w:hAnsi="Times New Roman" w:cs="Times New Roman"/>
          <w:sz w:val="20"/>
          <w:szCs w:val="20"/>
        </w:rPr>
        <w:t xml:space="preserve"> </w:t>
      </w:r>
      <w:r w:rsidR="0036040E">
        <w:rPr>
          <w:rFonts w:ascii="Times New Roman" w:hAnsi="Times New Roman" w:cs="Times New Roman"/>
          <w:sz w:val="20"/>
          <w:szCs w:val="20"/>
        </w:rPr>
        <w:t>D</w:t>
      </w:r>
      <w:r w:rsidR="007F2AAA">
        <w:rPr>
          <w:rFonts w:ascii="Times New Roman" w:hAnsi="Times New Roman" w:cs="Times New Roman"/>
          <w:sz w:val="20"/>
          <w:szCs w:val="20"/>
        </w:rPr>
        <w:t xml:space="preserve">ry THF </w:t>
      </w:r>
      <w:r w:rsidR="0036040E">
        <w:rPr>
          <w:rFonts w:ascii="Times New Roman" w:hAnsi="Times New Roman" w:cs="Times New Roman"/>
          <w:sz w:val="20"/>
          <w:szCs w:val="20"/>
        </w:rPr>
        <w:t xml:space="preserve">(10 mL) </w:t>
      </w:r>
      <w:r w:rsidR="000A6C4A">
        <w:rPr>
          <w:rFonts w:ascii="Times New Roman" w:hAnsi="Times New Roman" w:cs="Times New Roman"/>
          <w:sz w:val="20"/>
          <w:szCs w:val="20"/>
        </w:rPr>
        <w:t>is</w:t>
      </w:r>
      <w:r w:rsidR="007F2AAA">
        <w:rPr>
          <w:rFonts w:ascii="Times New Roman" w:hAnsi="Times New Roman" w:cs="Times New Roman"/>
          <w:sz w:val="20"/>
          <w:szCs w:val="20"/>
        </w:rPr>
        <w:t xml:space="preserve"> added to each flask via syringe. The solutions </w:t>
      </w:r>
      <w:r w:rsidR="000A6C4A">
        <w:rPr>
          <w:rFonts w:ascii="Times New Roman" w:hAnsi="Times New Roman" w:cs="Times New Roman"/>
          <w:sz w:val="20"/>
          <w:szCs w:val="20"/>
        </w:rPr>
        <w:t>are</w:t>
      </w:r>
      <w:r w:rsidR="007F2AAA">
        <w:rPr>
          <w:rFonts w:ascii="Times New Roman" w:hAnsi="Times New Roman" w:cs="Times New Roman"/>
          <w:sz w:val="20"/>
          <w:szCs w:val="20"/>
        </w:rPr>
        <w:t xml:space="preserve"> stirred using magnetic stir plate.</w:t>
      </w:r>
    </w:p>
    <w:p w:rsidR="007F2AAA" w:rsidRDefault="007F2AAA"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p>
    <w:p w:rsidR="007F2AAA" w:rsidRDefault="007F2AAA"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b/>
          <w:sz w:val="20"/>
          <w:szCs w:val="20"/>
        </w:rPr>
      </w:pPr>
      <w:r w:rsidRPr="006A1AB1">
        <w:rPr>
          <w:rFonts w:ascii="Times New Roman" w:hAnsi="Times New Roman" w:cs="Times New Roman"/>
          <w:b/>
          <w:sz w:val="20"/>
          <w:szCs w:val="20"/>
          <w:u w:val="single"/>
        </w:rPr>
        <w:t>The addition of n-</w:t>
      </w:r>
      <w:proofErr w:type="spellStart"/>
      <w:r w:rsidRPr="006A1AB1">
        <w:rPr>
          <w:rFonts w:ascii="Times New Roman" w:hAnsi="Times New Roman" w:cs="Times New Roman"/>
          <w:b/>
          <w:sz w:val="20"/>
          <w:szCs w:val="20"/>
          <w:u w:val="single"/>
        </w:rPr>
        <w:t>BuLi</w:t>
      </w:r>
      <w:proofErr w:type="spellEnd"/>
      <w:r w:rsidRPr="006A1AB1">
        <w:rPr>
          <w:rFonts w:ascii="Times New Roman" w:hAnsi="Times New Roman" w:cs="Times New Roman"/>
          <w:b/>
          <w:sz w:val="20"/>
          <w:szCs w:val="20"/>
          <w:u w:val="single"/>
        </w:rPr>
        <w:t xml:space="preserve">: </w:t>
      </w:r>
      <w:r w:rsidRPr="006A1AB1">
        <w:rPr>
          <w:rFonts w:ascii="Times New Roman" w:hAnsi="Times New Roman" w:cs="Times New Roman"/>
          <w:b/>
          <w:sz w:val="20"/>
          <w:szCs w:val="20"/>
        </w:rPr>
        <w:t>If you have not previously used n-</w:t>
      </w:r>
      <w:proofErr w:type="spellStart"/>
      <w:r w:rsidRPr="006A1AB1">
        <w:rPr>
          <w:rFonts w:ascii="Times New Roman" w:hAnsi="Times New Roman" w:cs="Times New Roman"/>
          <w:b/>
          <w:sz w:val="20"/>
          <w:szCs w:val="20"/>
        </w:rPr>
        <w:t>BuLi</w:t>
      </w:r>
      <w:proofErr w:type="spellEnd"/>
      <w:r w:rsidRPr="006A1AB1">
        <w:rPr>
          <w:rFonts w:ascii="Times New Roman" w:hAnsi="Times New Roman" w:cs="Times New Roman"/>
          <w:b/>
          <w:sz w:val="20"/>
          <w:szCs w:val="20"/>
        </w:rPr>
        <w:t>, please see an SOP on handling pyrophoric liquids</w:t>
      </w:r>
      <w:r w:rsidR="00E01399" w:rsidRPr="006A1AB1">
        <w:rPr>
          <w:rFonts w:ascii="Times New Roman" w:hAnsi="Times New Roman" w:cs="Times New Roman"/>
          <w:b/>
          <w:sz w:val="20"/>
          <w:szCs w:val="20"/>
        </w:rPr>
        <w:t xml:space="preserve"> or read the DRS </w:t>
      </w:r>
      <w:proofErr w:type="gramStart"/>
      <w:r w:rsidR="001427D4">
        <w:rPr>
          <w:rFonts w:ascii="Times New Roman" w:hAnsi="Times New Roman" w:cs="Times New Roman"/>
          <w:b/>
          <w:sz w:val="20"/>
          <w:szCs w:val="20"/>
        </w:rPr>
        <w:t>p</w:t>
      </w:r>
      <w:r w:rsidR="00E01399" w:rsidRPr="006A1AB1">
        <w:rPr>
          <w:rFonts w:ascii="Times New Roman" w:hAnsi="Times New Roman" w:cs="Times New Roman"/>
          <w:b/>
          <w:sz w:val="20"/>
          <w:szCs w:val="20"/>
        </w:rPr>
        <w:t>yrophorics</w:t>
      </w:r>
      <w:proofErr w:type="gramEnd"/>
      <w:r w:rsidR="00E01399" w:rsidRPr="006A1AB1">
        <w:rPr>
          <w:rFonts w:ascii="Times New Roman" w:hAnsi="Times New Roman" w:cs="Times New Roman"/>
          <w:b/>
          <w:sz w:val="20"/>
          <w:szCs w:val="20"/>
        </w:rPr>
        <w:t xml:space="preserve"> safety guide</w:t>
      </w:r>
      <w:r w:rsidRPr="006A1AB1">
        <w:rPr>
          <w:rFonts w:ascii="Times New Roman" w:hAnsi="Times New Roman" w:cs="Times New Roman"/>
          <w:b/>
          <w:sz w:val="20"/>
          <w:szCs w:val="20"/>
        </w:rPr>
        <w:t>.</w:t>
      </w:r>
    </w:p>
    <w:p w:rsidR="006A1AB1" w:rsidRPr="006A1AB1" w:rsidRDefault="006A1AB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b/>
          <w:sz w:val="20"/>
          <w:szCs w:val="20"/>
        </w:rPr>
      </w:pPr>
    </w:p>
    <w:p w:rsidR="004C7E8C" w:rsidRDefault="00B318A5"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Draw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into a 1</w:t>
      </w:r>
      <w:r w:rsidR="006A1AB1">
        <w:rPr>
          <w:rFonts w:ascii="Times New Roman" w:hAnsi="Times New Roman" w:cs="Times New Roman"/>
          <w:sz w:val="20"/>
          <w:szCs w:val="20"/>
        </w:rPr>
        <w:t>-</w:t>
      </w:r>
      <w:r>
        <w:rPr>
          <w:rFonts w:ascii="Times New Roman" w:hAnsi="Times New Roman" w:cs="Times New Roman"/>
          <w:sz w:val="20"/>
          <w:szCs w:val="20"/>
        </w:rPr>
        <w:t xml:space="preserve">mL plastic syringe </w:t>
      </w:r>
      <w:r w:rsidR="00E01399">
        <w:rPr>
          <w:rFonts w:ascii="Times New Roman" w:hAnsi="Times New Roman" w:cs="Times New Roman"/>
          <w:sz w:val="20"/>
          <w:szCs w:val="20"/>
        </w:rPr>
        <w:t xml:space="preserve">graduated </w:t>
      </w:r>
      <w:r>
        <w:rPr>
          <w:rFonts w:ascii="Times New Roman" w:hAnsi="Times New Roman" w:cs="Times New Roman"/>
          <w:sz w:val="20"/>
          <w:szCs w:val="20"/>
        </w:rPr>
        <w:t>with 0.01 mL increment</w:t>
      </w:r>
      <w:r w:rsidR="00E01399">
        <w:rPr>
          <w:rFonts w:ascii="Times New Roman" w:hAnsi="Times New Roman" w:cs="Times New Roman"/>
          <w:sz w:val="20"/>
          <w:szCs w:val="20"/>
        </w:rPr>
        <w:t>s</w:t>
      </w:r>
      <w:r>
        <w:rPr>
          <w:rFonts w:ascii="Times New Roman" w:hAnsi="Times New Roman" w:cs="Times New Roman"/>
          <w:sz w:val="20"/>
          <w:szCs w:val="20"/>
        </w:rPr>
        <w:t>. Record the amount present in the syringe then draw in inert gas to create an inert headspace. (Review the proper way to use a syringe</w:t>
      </w:r>
      <w:r w:rsidR="00275693">
        <w:rPr>
          <w:rFonts w:ascii="Times New Roman" w:hAnsi="Times New Roman" w:cs="Times New Roman"/>
          <w:sz w:val="20"/>
          <w:szCs w:val="20"/>
        </w:rPr>
        <w:t>, see DRS pyrophorics safety guide</w:t>
      </w:r>
      <w:r>
        <w:rPr>
          <w:rFonts w:ascii="Times New Roman" w:hAnsi="Times New Roman" w:cs="Times New Roman"/>
          <w:sz w:val="20"/>
          <w:szCs w:val="20"/>
        </w:rPr>
        <w:t xml:space="preserve">) </w:t>
      </w:r>
      <w:r w:rsidR="007F2AAA">
        <w:rPr>
          <w:rFonts w:ascii="Times New Roman" w:hAnsi="Times New Roman" w:cs="Times New Roman"/>
          <w:sz w:val="20"/>
          <w:szCs w:val="20"/>
        </w:rPr>
        <w:t>n-</w:t>
      </w:r>
      <w:proofErr w:type="spellStart"/>
      <w:r w:rsidR="007F2AAA">
        <w:rPr>
          <w:rFonts w:ascii="Times New Roman" w:hAnsi="Times New Roman" w:cs="Times New Roman"/>
          <w:sz w:val="20"/>
          <w:szCs w:val="20"/>
        </w:rPr>
        <w:t>BuLi</w:t>
      </w:r>
      <w:proofErr w:type="spellEnd"/>
      <w:r w:rsidR="007F2AAA">
        <w:rPr>
          <w:rFonts w:ascii="Times New Roman" w:hAnsi="Times New Roman" w:cs="Times New Roman"/>
          <w:sz w:val="20"/>
          <w:szCs w:val="20"/>
        </w:rPr>
        <w:t xml:space="preserve"> </w:t>
      </w:r>
      <w:r w:rsidR="000A6C4A">
        <w:rPr>
          <w:rFonts w:ascii="Times New Roman" w:hAnsi="Times New Roman" w:cs="Times New Roman"/>
          <w:sz w:val="20"/>
          <w:szCs w:val="20"/>
        </w:rPr>
        <w:t>i</w:t>
      </w:r>
      <w:r w:rsidR="007F2AAA">
        <w:rPr>
          <w:rFonts w:ascii="Times New Roman" w:hAnsi="Times New Roman" w:cs="Times New Roman"/>
          <w:sz w:val="20"/>
          <w:szCs w:val="20"/>
        </w:rPr>
        <w:t>s added dropwise to flask</w:t>
      </w:r>
      <w:r>
        <w:rPr>
          <w:rFonts w:ascii="Times New Roman" w:hAnsi="Times New Roman" w:cs="Times New Roman"/>
          <w:sz w:val="20"/>
          <w:szCs w:val="20"/>
        </w:rPr>
        <w:t xml:space="preserve"> 1</w:t>
      </w:r>
      <w:r w:rsidR="007F2AAA">
        <w:rPr>
          <w:rFonts w:ascii="Times New Roman" w:hAnsi="Times New Roman" w:cs="Times New Roman"/>
          <w:sz w:val="20"/>
          <w:szCs w:val="20"/>
        </w:rPr>
        <w:t>.</w:t>
      </w:r>
      <w:r>
        <w:rPr>
          <w:rFonts w:ascii="Times New Roman" w:hAnsi="Times New Roman" w:cs="Times New Roman"/>
          <w:sz w:val="20"/>
          <w:szCs w:val="20"/>
        </w:rPr>
        <w:t xml:space="preserve"> You will notice a red color that quickly disappears. Once the red persists with a single drop of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the endpoint has been reached. </w:t>
      </w:r>
      <w:r w:rsidR="00775EF4">
        <w:rPr>
          <w:rFonts w:ascii="Times New Roman" w:hAnsi="Times New Roman" w:cs="Times New Roman"/>
          <w:sz w:val="20"/>
          <w:szCs w:val="20"/>
        </w:rPr>
        <w:t>Record the volume of n-</w:t>
      </w:r>
      <w:proofErr w:type="spellStart"/>
      <w:r w:rsidR="00775EF4">
        <w:rPr>
          <w:rFonts w:ascii="Times New Roman" w:hAnsi="Times New Roman" w:cs="Times New Roman"/>
          <w:sz w:val="20"/>
          <w:szCs w:val="20"/>
        </w:rPr>
        <w:t>BuLi</w:t>
      </w:r>
      <w:proofErr w:type="spellEnd"/>
      <w:r w:rsidR="00775EF4">
        <w:rPr>
          <w:rFonts w:ascii="Times New Roman" w:hAnsi="Times New Roman" w:cs="Times New Roman"/>
          <w:sz w:val="20"/>
          <w:szCs w:val="20"/>
        </w:rPr>
        <w:t xml:space="preserve"> left in the syringe. </w:t>
      </w:r>
      <w:r w:rsidR="00E01399">
        <w:rPr>
          <w:rFonts w:ascii="Times New Roman" w:hAnsi="Times New Roman" w:cs="Times New Roman"/>
          <w:sz w:val="20"/>
          <w:szCs w:val="20"/>
        </w:rPr>
        <w:t xml:space="preserve">The syringe </w:t>
      </w:r>
      <w:r w:rsidR="000A6C4A">
        <w:rPr>
          <w:rFonts w:ascii="Times New Roman" w:hAnsi="Times New Roman" w:cs="Times New Roman"/>
          <w:sz w:val="20"/>
          <w:szCs w:val="20"/>
        </w:rPr>
        <w:t>i</w:t>
      </w:r>
      <w:r w:rsidR="00E01399">
        <w:rPr>
          <w:rFonts w:ascii="Times New Roman" w:hAnsi="Times New Roman" w:cs="Times New Roman"/>
          <w:sz w:val="20"/>
          <w:szCs w:val="20"/>
        </w:rPr>
        <w:t>s then cleaned properly. To</w:t>
      </w:r>
      <w:r w:rsidR="000A6C4A">
        <w:rPr>
          <w:rFonts w:ascii="Times New Roman" w:hAnsi="Times New Roman" w:cs="Times New Roman"/>
          <w:sz w:val="20"/>
          <w:szCs w:val="20"/>
        </w:rPr>
        <w:t xml:space="preserve"> clean the syringe, the needle i</w:t>
      </w:r>
      <w:r w:rsidR="00E01399">
        <w:rPr>
          <w:rFonts w:ascii="Times New Roman" w:hAnsi="Times New Roman" w:cs="Times New Roman"/>
          <w:sz w:val="20"/>
          <w:szCs w:val="20"/>
        </w:rPr>
        <w:t xml:space="preserve">s put into a test tube filled with 5 mL of hexanes and solvent </w:t>
      </w:r>
      <w:r w:rsidR="000A6C4A">
        <w:rPr>
          <w:rFonts w:ascii="Times New Roman" w:hAnsi="Times New Roman" w:cs="Times New Roman"/>
          <w:sz w:val="20"/>
          <w:szCs w:val="20"/>
        </w:rPr>
        <w:t>i</w:t>
      </w:r>
      <w:r w:rsidR="00E01399">
        <w:rPr>
          <w:rFonts w:ascii="Times New Roman" w:hAnsi="Times New Roman" w:cs="Times New Roman"/>
          <w:sz w:val="20"/>
          <w:szCs w:val="20"/>
        </w:rPr>
        <w:t>s drawn into the syringe and ejected a few time</w:t>
      </w:r>
      <w:r w:rsidR="006A1AB1">
        <w:rPr>
          <w:rFonts w:ascii="Times New Roman" w:hAnsi="Times New Roman" w:cs="Times New Roman"/>
          <w:sz w:val="20"/>
          <w:szCs w:val="20"/>
        </w:rPr>
        <w:t>s</w:t>
      </w:r>
      <w:r w:rsidR="00E01399">
        <w:rPr>
          <w:rFonts w:ascii="Times New Roman" w:hAnsi="Times New Roman" w:cs="Times New Roman"/>
          <w:sz w:val="20"/>
          <w:szCs w:val="20"/>
        </w:rPr>
        <w:t xml:space="preserve">. The syringe </w:t>
      </w:r>
      <w:r w:rsidR="00AC100C">
        <w:rPr>
          <w:rFonts w:ascii="Times New Roman" w:hAnsi="Times New Roman" w:cs="Times New Roman"/>
          <w:sz w:val="20"/>
          <w:szCs w:val="20"/>
        </w:rPr>
        <w:t>i</w:t>
      </w:r>
      <w:r w:rsidR="00E01399">
        <w:rPr>
          <w:rFonts w:ascii="Times New Roman" w:hAnsi="Times New Roman" w:cs="Times New Roman"/>
          <w:sz w:val="20"/>
          <w:szCs w:val="20"/>
        </w:rPr>
        <w:t xml:space="preserve">s then rinsed with another 5 mL of fresh hexanes the same way, followed by acetone and then water. </w:t>
      </w:r>
      <w:r w:rsidR="006A1AB1">
        <w:rPr>
          <w:rFonts w:ascii="Times New Roman" w:hAnsi="Times New Roman" w:cs="Times New Roman"/>
          <w:sz w:val="20"/>
          <w:szCs w:val="20"/>
        </w:rPr>
        <w:t>Allow the hexanes washes to be slowly quenched in air.</w:t>
      </w:r>
      <w:r w:rsidR="00184B8E">
        <w:rPr>
          <w:rFonts w:ascii="Times New Roman" w:hAnsi="Times New Roman" w:cs="Times New Roman"/>
          <w:sz w:val="20"/>
          <w:szCs w:val="20"/>
        </w:rPr>
        <w:t xml:space="preserve"> You will notice a yellow/white residue form in the test tube.</w:t>
      </w:r>
    </w:p>
    <w:p w:rsidR="00184B8E" w:rsidRDefault="00184B8E"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p>
    <w:p w:rsidR="00AC100C" w:rsidRDefault="00AC100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The same procedure is followed for flask 2 and 3.</w:t>
      </w:r>
    </w:p>
    <w:p w:rsidR="00184B8E" w:rsidRDefault="00184B8E"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p>
    <w:p w:rsidR="00AC100C" w:rsidRDefault="00AC100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A few drops of saturated NH</w:t>
      </w:r>
      <w:r>
        <w:rPr>
          <w:rFonts w:ascii="Times New Roman" w:hAnsi="Times New Roman" w:cs="Times New Roman"/>
          <w:sz w:val="20"/>
          <w:szCs w:val="20"/>
          <w:vertAlign w:val="subscript"/>
        </w:rPr>
        <w:t>4</w:t>
      </w:r>
      <w:r>
        <w:rPr>
          <w:rFonts w:ascii="Times New Roman" w:hAnsi="Times New Roman" w:cs="Times New Roman"/>
          <w:sz w:val="20"/>
          <w:szCs w:val="20"/>
        </w:rPr>
        <w:t xml:space="preserve">Cl aqueous solution </w:t>
      </w:r>
      <w:r w:rsidR="000A6C4A">
        <w:rPr>
          <w:rFonts w:ascii="Times New Roman" w:hAnsi="Times New Roman" w:cs="Times New Roman"/>
          <w:sz w:val="20"/>
          <w:szCs w:val="20"/>
        </w:rPr>
        <w:t>are</w:t>
      </w:r>
      <w:r>
        <w:rPr>
          <w:rFonts w:ascii="Times New Roman" w:hAnsi="Times New Roman" w:cs="Times New Roman"/>
          <w:sz w:val="20"/>
          <w:szCs w:val="20"/>
        </w:rPr>
        <w:t xml:space="preserve"> added via syringe to all three flasks while they are still under an inert atmosphere to quench any excess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w:t>
      </w:r>
    </w:p>
    <w:p w:rsidR="006A1AB1" w:rsidRDefault="006A1AB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*Larger volumes of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can be quenched by slowly pouring it onto dry ice </w:t>
      </w:r>
      <w:r w:rsidR="000C5920">
        <w:rPr>
          <w:rFonts w:ascii="Times New Roman" w:hAnsi="Times New Roman" w:cs="Times New Roman"/>
          <w:sz w:val="20"/>
          <w:szCs w:val="20"/>
        </w:rPr>
        <w:t xml:space="preserve">in a plastic container </w:t>
      </w:r>
      <w:r>
        <w:rPr>
          <w:rFonts w:ascii="Times New Roman" w:hAnsi="Times New Roman" w:cs="Times New Roman"/>
          <w:sz w:val="20"/>
          <w:szCs w:val="20"/>
        </w:rPr>
        <w:t>and letting the dry ice evaporate overnight.</w:t>
      </w:r>
    </w:p>
    <w:p w:rsidR="004A7178" w:rsidRDefault="004A7178"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p>
    <w:p w:rsidR="004A7178" w:rsidRDefault="004A7178"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Calculating concentration:</w:t>
      </w:r>
    </w:p>
    <w:p w:rsidR="004A7178" w:rsidRDefault="004A7178"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Subtract the </w:t>
      </w:r>
      <w:r w:rsidR="00354845">
        <w:rPr>
          <w:rFonts w:ascii="Times New Roman" w:hAnsi="Times New Roman" w:cs="Times New Roman"/>
          <w:sz w:val="20"/>
          <w:szCs w:val="20"/>
        </w:rPr>
        <w:t>final</w:t>
      </w:r>
      <w:r>
        <w:rPr>
          <w:rFonts w:ascii="Times New Roman" w:hAnsi="Times New Roman" w:cs="Times New Roman"/>
          <w:sz w:val="20"/>
          <w:szCs w:val="20"/>
        </w:rPr>
        <w:t xml:space="preserve"> from the initial volume to determine the volume of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added to the flask.</w:t>
      </w:r>
    </w:p>
    <w:p w:rsidR="004A7178" w:rsidRDefault="004A7178"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 xml:space="preserve">Calculate the number of </w:t>
      </w:r>
      <w:proofErr w:type="spellStart"/>
      <w:r>
        <w:rPr>
          <w:rFonts w:ascii="Times New Roman" w:hAnsi="Times New Roman" w:cs="Times New Roman"/>
          <w:sz w:val="20"/>
          <w:szCs w:val="20"/>
        </w:rPr>
        <w:t>mmol</w:t>
      </w:r>
      <w:proofErr w:type="spellEnd"/>
      <w:r>
        <w:rPr>
          <w:rFonts w:ascii="Times New Roman" w:hAnsi="Times New Roman" w:cs="Times New Roman"/>
          <w:sz w:val="20"/>
          <w:szCs w:val="20"/>
        </w:rPr>
        <w:t xml:space="preserve"> of menthol in the flask. Th</w:t>
      </w:r>
      <w:r w:rsidR="00D07BDD">
        <w:rPr>
          <w:rFonts w:ascii="Times New Roman" w:hAnsi="Times New Roman" w:cs="Times New Roman"/>
          <w:sz w:val="20"/>
          <w:szCs w:val="20"/>
        </w:rPr>
        <w:t xml:space="preserve">e </w:t>
      </w:r>
      <w:proofErr w:type="spellStart"/>
      <w:r w:rsidR="00354845">
        <w:rPr>
          <w:rFonts w:ascii="Times New Roman" w:hAnsi="Times New Roman" w:cs="Times New Roman"/>
          <w:sz w:val="20"/>
          <w:szCs w:val="20"/>
        </w:rPr>
        <w:t>mmol</w:t>
      </w:r>
      <w:proofErr w:type="spellEnd"/>
      <w:r w:rsidR="00354845">
        <w:rPr>
          <w:rFonts w:ascii="Times New Roman" w:hAnsi="Times New Roman" w:cs="Times New Roman"/>
          <w:sz w:val="20"/>
          <w:szCs w:val="20"/>
        </w:rPr>
        <w:t xml:space="preserve"> of menthol</w:t>
      </w:r>
      <w:r>
        <w:rPr>
          <w:rFonts w:ascii="Times New Roman" w:hAnsi="Times New Roman" w:cs="Times New Roman"/>
          <w:sz w:val="20"/>
          <w:szCs w:val="20"/>
        </w:rPr>
        <w:t xml:space="preserve"> is equal to the </w:t>
      </w:r>
      <w:proofErr w:type="spellStart"/>
      <w:r>
        <w:rPr>
          <w:rFonts w:ascii="Times New Roman" w:hAnsi="Times New Roman" w:cs="Times New Roman"/>
          <w:sz w:val="20"/>
          <w:szCs w:val="20"/>
        </w:rPr>
        <w:t>mmol</w:t>
      </w:r>
      <w:proofErr w:type="spellEnd"/>
      <w:r>
        <w:rPr>
          <w:rFonts w:ascii="Times New Roman" w:hAnsi="Times New Roman" w:cs="Times New Roman"/>
          <w:sz w:val="20"/>
          <w:szCs w:val="20"/>
        </w:rPr>
        <w:t xml:space="preserve"> of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at the end point.</w:t>
      </w:r>
    </w:p>
    <w:p w:rsidR="004A7178" w:rsidRPr="000A6C4A" w:rsidRDefault="001427D4" w:rsidP="00D6785E">
      <w:pPr>
        <w:pBdr>
          <w:top w:val="single" w:sz="4" w:space="1" w:color="auto"/>
          <w:left w:val="single" w:sz="4" w:space="4" w:color="auto"/>
          <w:bottom w:val="single" w:sz="4" w:space="1" w:color="auto"/>
          <w:right w:val="single" w:sz="4" w:space="4" w:color="auto"/>
        </w:pBdr>
        <w:ind w:left="720"/>
        <w:contextualSpacing/>
        <w:rPr>
          <w:rFonts w:ascii="Times New Roman" w:eastAsiaTheme="minorEastAsia"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mmol nBuLi</m:t>
              </m:r>
            </m:num>
            <m:den>
              <m:r>
                <w:rPr>
                  <w:rFonts w:ascii="Cambria Math" w:hAnsi="Cambria Math" w:cs="Times New Roman"/>
                  <w:sz w:val="20"/>
                  <w:szCs w:val="20"/>
                </w:rPr>
                <m:t>mL  nBuLi</m:t>
              </m:r>
            </m:den>
          </m:f>
          <m:r>
            <w:rPr>
              <w:rFonts w:ascii="Cambria Math" w:hAnsi="Cambria Math" w:cs="Times New Roman"/>
              <w:sz w:val="20"/>
              <w:szCs w:val="20"/>
            </w:rPr>
            <m:t>=M of soution</m:t>
          </m:r>
        </m:oMath>
      </m:oMathPara>
    </w:p>
    <w:p w:rsidR="000A6C4A" w:rsidRDefault="000A6C4A"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eastAsiaTheme="minorEastAsia" w:hAnsi="Times New Roman" w:cs="Times New Roman"/>
          <w:sz w:val="20"/>
          <w:szCs w:val="20"/>
        </w:rPr>
        <w:t>An average molarity is calculated from titrating the contents of the three flasks. If one of the three flasks results in an outlier, additional titrations should be performed. Deviation from the average molarity should be recorded on the bottle.</w:t>
      </w:r>
    </w:p>
    <w:p w:rsidR="004A7178" w:rsidRPr="00AC100C" w:rsidRDefault="004A7178"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p>
    <w:p w:rsidR="00EE721C" w:rsidRDefault="00EE721C" w:rsidP="000A398E">
      <w:pPr>
        <w:contextualSpacing/>
        <w:rPr>
          <w:rFonts w:ascii="Times New Roman" w:hAnsi="Times New Roman" w:cs="Times New Roman"/>
          <w:b/>
          <w:sz w:val="24"/>
          <w:szCs w:val="24"/>
        </w:rPr>
      </w:pPr>
    </w:p>
    <w:p w:rsidR="000A398E" w:rsidRPr="00421527" w:rsidRDefault="00EE721C" w:rsidP="000A398E">
      <w:pPr>
        <w:contextualSpacing/>
        <w:rPr>
          <w:rFonts w:ascii="Times New Roman" w:hAnsi="Times New Roman" w:cs="Times New Roman"/>
          <w:sz w:val="24"/>
          <w:szCs w:val="24"/>
        </w:rPr>
      </w:pPr>
      <w:r>
        <w:rPr>
          <w:rFonts w:ascii="Times New Roman" w:hAnsi="Times New Roman" w:cs="Times New Roman"/>
          <w:b/>
          <w:sz w:val="24"/>
          <w:szCs w:val="24"/>
        </w:rPr>
        <w:t xml:space="preserve">Section </w:t>
      </w:r>
      <w:r w:rsidR="0036040E">
        <w:rPr>
          <w:rFonts w:ascii="Times New Roman" w:hAnsi="Times New Roman" w:cs="Times New Roman"/>
          <w:b/>
          <w:sz w:val="24"/>
          <w:szCs w:val="24"/>
        </w:rPr>
        <w:t>4</w:t>
      </w:r>
      <w:r w:rsidR="00421527" w:rsidRPr="00421527">
        <w:rPr>
          <w:rFonts w:ascii="Times New Roman" w:hAnsi="Times New Roman" w:cs="Times New Roman"/>
          <w:b/>
          <w:sz w:val="24"/>
          <w:szCs w:val="24"/>
        </w:rPr>
        <w:t xml:space="preserve">: Waste </w:t>
      </w:r>
      <w:r w:rsidR="0036040E">
        <w:rPr>
          <w:rFonts w:ascii="Times New Roman" w:hAnsi="Times New Roman" w:cs="Times New Roman"/>
          <w:b/>
          <w:sz w:val="24"/>
          <w:szCs w:val="24"/>
        </w:rPr>
        <w:t>Disposal/Cleanup</w:t>
      </w:r>
    </w:p>
    <w:p w:rsidR="006A1AB1" w:rsidRDefault="006A1AB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Quenching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xml:space="preserve"> </w:t>
      </w:r>
      <w:r w:rsidR="0036040E">
        <w:rPr>
          <w:rFonts w:ascii="Times New Roman" w:hAnsi="Times New Roman" w:cs="Times New Roman"/>
          <w:sz w:val="20"/>
          <w:szCs w:val="20"/>
        </w:rPr>
        <w:t>is</w:t>
      </w:r>
      <w:r>
        <w:rPr>
          <w:rFonts w:ascii="Times New Roman" w:hAnsi="Times New Roman" w:cs="Times New Roman"/>
          <w:sz w:val="20"/>
          <w:szCs w:val="20"/>
        </w:rPr>
        <w:t xml:space="preserve"> described in the procedure above.</w:t>
      </w:r>
    </w:p>
    <w:p w:rsidR="006A1AB1" w:rsidRDefault="006A1AB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p>
    <w:p w:rsidR="000A398E" w:rsidRPr="006A1AB1" w:rsidRDefault="00557FD4"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sidRPr="006A1AB1">
        <w:rPr>
          <w:rFonts w:ascii="Times New Roman" w:hAnsi="Times New Roman" w:cs="Times New Roman"/>
          <w:sz w:val="20"/>
          <w:szCs w:val="20"/>
        </w:rPr>
        <w:t>After all traces of n-</w:t>
      </w:r>
      <w:proofErr w:type="spellStart"/>
      <w:r w:rsidRPr="006A1AB1">
        <w:rPr>
          <w:rFonts w:ascii="Times New Roman" w:hAnsi="Times New Roman" w:cs="Times New Roman"/>
          <w:sz w:val="20"/>
          <w:szCs w:val="20"/>
        </w:rPr>
        <w:t>BuLi</w:t>
      </w:r>
      <w:proofErr w:type="spellEnd"/>
      <w:r w:rsidRPr="006A1AB1">
        <w:rPr>
          <w:rFonts w:ascii="Times New Roman" w:hAnsi="Times New Roman" w:cs="Times New Roman"/>
          <w:sz w:val="20"/>
          <w:szCs w:val="20"/>
        </w:rPr>
        <w:t xml:space="preserve"> have</w:t>
      </w:r>
      <w:r w:rsidR="004A7178" w:rsidRPr="006A1AB1">
        <w:rPr>
          <w:rFonts w:ascii="Times New Roman" w:hAnsi="Times New Roman" w:cs="Times New Roman"/>
          <w:sz w:val="20"/>
          <w:szCs w:val="20"/>
        </w:rPr>
        <w:t xml:space="preserve"> been properly quenched, the waste can be disposed of by separating any organic and aqueous materials</w:t>
      </w:r>
      <w:r w:rsidR="001427D4">
        <w:rPr>
          <w:rFonts w:ascii="Times New Roman" w:hAnsi="Times New Roman" w:cs="Times New Roman"/>
          <w:sz w:val="20"/>
          <w:szCs w:val="20"/>
        </w:rPr>
        <w:t xml:space="preserve"> and contacting DRS for pickup</w:t>
      </w:r>
      <w:r w:rsidR="004A7178" w:rsidRPr="006A1AB1">
        <w:rPr>
          <w:rFonts w:ascii="Times New Roman" w:hAnsi="Times New Roman" w:cs="Times New Roman"/>
          <w:sz w:val="20"/>
          <w:szCs w:val="20"/>
        </w:rPr>
        <w:t>.</w:t>
      </w:r>
    </w:p>
    <w:p w:rsidR="0036040E" w:rsidRDefault="0036040E" w:rsidP="0036040E">
      <w:pPr>
        <w:contextualSpacing/>
        <w:rPr>
          <w:rFonts w:ascii="Times New Roman" w:hAnsi="Times New Roman" w:cs="Times New Roman"/>
          <w:b/>
          <w:sz w:val="24"/>
          <w:szCs w:val="24"/>
        </w:rPr>
      </w:pPr>
    </w:p>
    <w:p w:rsidR="0036040E" w:rsidRPr="00421527" w:rsidRDefault="0036040E" w:rsidP="0036040E">
      <w:pPr>
        <w:contextualSpacing/>
        <w:rPr>
          <w:rFonts w:ascii="Times New Roman" w:hAnsi="Times New Roman" w:cs="Times New Roman"/>
          <w:b/>
          <w:sz w:val="24"/>
          <w:szCs w:val="24"/>
        </w:rPr>
      </w:pPr>
      <w:r>
        <w:rPr>
          <w:rFonts w:ascii="Times New Roman" w:hAnsi="Times New Roman" w:cs="Times New Roman"/>
          <w:b/>
          <w:sz w:val="24"/>
          <w:szCs w:val="24"/>
        </w:rPr>
        <w:t>Section 5:</w:t>
      </w:r>
      <w:r w:rsidRPr="00421527">
        <w:rPr>
          <w:rFonts w:ascii="Times New Roman" w:hAnsi="Times New Roman" w:cs="Times New Roman"/>
          <w:b/>
          <w:sz w:val="24"/>
          <w:szCs w:val="24"/>
        </w:rPr>
        <w:t xml:space="preserve"> Emergency Response</w:t>
      </w:r>
    </w:p>
    <w:p w:rsidR="0036040E" w:rsidRDefault="00B41DD1" w:rsidP="0036040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A dry</w:t>
      </w:r>
      <w:r w:rsidR="0036040E">
        <w:rPr>
          <w:rFonts w:ascii="Times New Roman" w:hAnsi="Times New Roman" w:cs="Times New Roman"/>
          <w:sz w:val="20"/>
          <w:szCs w:val="20"/>
        </w:rPr>
        <w:t xml:space="preserve"> powder fire extinguisher should be nearby.</w:t>
      </w:r>
    </w:p>
    <w:p w:rsidR="0036040E" w:rsidRDefault="00B41DD1" w:rsidP="0036040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R</w:t>
      </w:r>
      <w:r w:rsidR="0036040E">
        <w:rPr>
          <w:rFonts w:ascii="Times New Roman" w:hAnsi="Times New Roman" w:cs="Times New Roman"/>
          <w:sz w:val="20"/>
          <w:szCs w:val="20"/>
        </w:rPr>
        <w:t>eview</w:t>
      </w:r>
      <w:r>
        <w:rPr>
          <w:rFonts w:ascii="Times New Roman" w:hAnsi="Times New Roman" w:cs="Times New Roman"/>
          <w:sz w:val="20"/>
          <w:szCs w:val="20"/>
        </w:rPr>
        <w:t xml:space="preserve"> the location</w:t>
      </w:r>
      <w:r w:rsidR="0036040E">
        <w:rPr>
          <w:rFonts w:ascii="Times New Roman" w:hAnsi="Times New Roman" w:cs="Times New Roman"/>
          <w:sz w:val="20"/>
          <w:szCs w:val="20"/>
        </w:rPr>
        <w:t xml:space="preserve"> of nearest safety shower before starting the procedure</w:t>
      </w:r>
      <w:r>
        <w:rPr>
          <w:rFonts w:ascii="Times New Roman" w:hAnsi="Times New Roman" w:cs="Times New Roman"/>
          <w:sz w:val="20"/>
          <w:szCs w:val="20"/>
        </w:rPr>
        <w:t>.</w:t>
      </w:r>
    </w:p>
    <w:p w:rsidR="0036040E" w:rsidRPr="005C16A7" w:rsidRDefault="0036040E" w:rsidP="0036040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In case of a fire, identify two routes to exit the room.</w:t>
      </w:r>
    </w:p>
    <w:p w:rsidR="0036040E" w:rsidRDefault="0036040E" w:rsidP="0036040E">
      <w:pPr>
        <w:contextualSpacing/>
        <w:rPr>
          <w:rFonts w:ascii="Times New Roman" w:hAnsi="Times New Roman" w:cs="Times New Roman"/>
          <w:i/>
          <w:sz w:val="20"/>
          <w:szCs w:val="20"/>
        </w:rPr>
      </w:pPr>
    </w:p>
    <w:p w:rsidR="00421527" w:rsidRDefault="00421527" w:rsidP="00421527">
      <w:pPr>
        <w:contextualSpacing/>
        <w:rPr>
          <w:rFonts w:ascii="Times New Roman" w:hAnsi="Times New Roman" w:cs="Times New Roman"/>
          <w:b/>
          <w:sz w:val="20"/>
          <w:szCs w:val="20"/>
        </w:rPr>
      </w:pPr>
    </w:p>
    <w:p w:rsidR="00421527" w:rsidRPr="00421527" w:rsidRDefault="00EE721C" w:rsidP="00421527">
      <w:pPr>
        <w:contextualSpacing/>
        <w:rPr>
          <w:rFonts w:ascii="Times New Roman" w:hAnsi="Times New Roman" w:cs="Times New Roman"/>
          <w:b/>
          <w:sz w:val="24"/>
          <w:szCs w:val="24"/>
        </w:rPr>
      </w:pPr>
      <w:r>
        <w:rPr>
          <w:rFonts w:ascii="Times New Roman" w:hAnsi="Times New Roman" w:cs="Times New Roman"/>
          <w:b/>
          <w:sz w:val="24"/>
          <w:szCs w:val="24"/>
        </w:rPr>
        <w:t xml:space="preserve">Section </w:t>
      </w:r>
      <w:r w:rsidR="0029202B">
        <w:rPr>
          <w:rFonts w:ascii="Times New Roman" w:hAnsi="Times New Roman" w:cs="Times New Roman"/>
          <w:b/>
          <w:sz w:val="24"/>
          <w:szCs w:val="24"/>
        </w:rPr>
        <w:t>6</w:t>
      </w:r>
      <w:r w:rsidR="00421527" w:rsidRPr="00421527">
        <w:rPr>
          <w:rFonts w:ascii="Times New Roman" w:hAnsi="Times New Roman" w:cs="Times New Roman"/>
          <w:b/>
          <w:sz w:val="24"/>
          <w:szCs w:val="24"/>
        </w:rPr>
        <w:t>: Additional Information</w:t>
      </w:r>
    </w:p>
    <w:p w:rsidR="00421527" w:rsidRDefault="00421527" w:rsidP="00421527">
      <w:pPr>
        <w:contextualSpacing/>
        <w:rPr>
          <w:rFonts w:ascii="Times New Roman" w:hAnsi="Times New Roman" w:cs="Times New Roman"/>
          <w:b/>
          <w:sz w:val="20"/>
          <w:szCs w:val="20"/>
        </w:rPr>
      </w:pPr>
      <w:r>
        <w:rPr>
          <w:rFonts w:ascii="Times New Roman" w:hAnsi="Times New Roman" w:cs="Times New Roman"/>
          <w:b/>
          <w:sz w:val="20"/>
          <w:szCs w:val="20"/>
        </w:rPr>
        <w:t>Advice:</w:t>
      </w:r>
    </w:p>
    <w:p w:rsidR="006F1CAE" w:rsidRDefault="004A7178"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Recrystallize the menthol prior to use.</w:t>
      </w:r>
    </w:p>
    <w:p w:rsidR="004A7178" w:rsidRDefault="004A7178"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The THF must be dry. Either distill from sodium/</w:t>
      </w:r>
      <w:proofErr w:type="spellStart"/>
      <w:r>
        <w:rPr>
          <w:rFonts w:ascii="Times New Roman" w:hAnsi="Times New Roman" w:cs="Times New Roman"/>
          <w:sz w:val="20"/>
          <w:szCs w:val="20"/>
        </w:rPr>
        <w:t>benzophenone</w:t>
      </w:r>
      <w:proofErr w:type="spellEnd"/>
      <w:r>
        <w:rPr>
          <w:rFonts w:ascii="Times New Roman" w:hAnsi="Times New Roman" w:cs="Times New Roman"/>
          <w:sz w:val="20"/>
          <w:szCs w:val="20"/>
        </w:rPr>
        <w:t xml:space="preserve"> or use </w:t>
      </w:r>
      <w:r w:rsidR="00D07BDD">
        <w:rPr>
          <w:rFonts w:ascii="Times New Roman" w:hAnsi="Times New Roman" w:cs="Times New Roman"/>
          <w:sz w:val="20"/>
          <w:szCs w:val="20"/>
        </w:rPr>
        <w:t xml:space="preserve">solvent from a still that passes it through </w:t>
      </w:r>
      <w:r w:rsidR="00B41DD1">
        <w:rPr>
          <w:rFonts w:ascii="Times New Roman" w:hAnsi="Times New Roman" w:cs="Times New Roman"/>
          <w:sz w:val="20"/>
          <w:szCs w:val="20"/>
        </w:rPr>
        <w:t xml:space="preserve">an </w:t>
      </w:r>
      <w:r w:rsidR="00D07BDD">
        <w:rPr>
          <w:rFonts w:ascii="Times New Roman" w:hAnsi="Times New Roman" w:cs="Times New Roman"/>
          <w:sz w:val="20"/>
          <w:szCs w:val="20"/>
        </w:rPr>
        <w:t>activated alumina column</w:t>
      </w:r>
      <w:r>
        <w:rPr>
          <w:rFonts w:ascii="Times New Roman" w:hAnsi="Times New Roman" w:cs="Times New Roman"/>
          <w:sz w:val="20"/>
          <w:szCs w:val="20"/>
        </w:rPr>
        <w:t xml:space="preserve">. </w:t>
      </w:r>
    </w:p>
    <w:p w:rsidR="00421527" w:rsidRDefault="004A7178"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Syringe needle will become clogged if they are not rinsed immediatel</w:t>
      </w:r>
      <w:bookmarkStart w:id="0" w:name="_GoBack"/>
      <w:bookmarkEnd w:id="0"/>
      <w:r>
        <w:rPr>
          <w:rFonts w:ascii="Times New Roman" w:hAnsi="Times New Roman" w:cs="Times New Roman"/>
          <w:sz w:val="20"/>
          <w:szCs w:val="20"/>
        </w:rPr>
        <w:t xml:space="preserve">y following use. </w:t>
      </w:r>
    </w:p>
    <w:p w:rsidR="009E1382" w:rsidRPr="0013213C" w:rsidRDefault="009E1382"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 xml:space="preserve">Use a </w:t>
      </w:r>
      <w:r w:rsidRPr="001427D4">
        <w:rPr>
          <w:rFonts w:ascii="Times New Roman" w:hAnsi="Times New Roman" w:cs="Times New Roman"/>
          <w:sz w:val="20"/>
          <w:szCs w:val="20"/>
          <w:u w:val="single"/>
        </w:rPr>
        <w:t>dry</w:t>
      </w:r>
      <w:r>
        <w:rPr>
          <w:rFonts w:ascii="Times New Roman" w:hAnsi="Times New Roman" w:cs="Times New Roman"/>
          <w:sz w:val="20"/>
          <w:szCs w:val="20"/>
        </w:rPr>
        <w:t xml:space="preserve"> 20 gauge needle to transfer n-</w:t>
      </w:r>
      <w:proofErr w:type="spellStart"/>
      <w:r>
        <w:rPr>
          <w:rFonts w:ascii="Times New Roman" w:hAnsi="Times New Roman" w:cs="Times New Roman"/>
          <w:sz w:val="20"/>
          <w:szCs w:val="20"/>
        </w:rPr>
        <w:t>BuLi</w:t>
      </w:r>
      <w:proofErr w:type="spellEnd"/>
      <w:r>
        <w:rPr>
          <w:rFonts w:ascii="Times New Roman" w:hAnsi="Times New Roman" w:cs="Times New Roman"/>
          <w:sz w:val="20"/>
          <w:szCs w:val="20"/>
        </w:rPr>
        <w:t>. This will maintain the integrity of the Sure/Seal.</w:t>
      </w:r>
    </w:p>
    <w:p w:rsidR="00CA6399" w:rsidRDefault="00CA6399" w:rsidP="000A398E">
      <w:pPr>
        <w:contextualSpacing/>
        <w:rPr>
          <w:rFonts w:ascii="Times New Roman" w:hAnsi="Times New Roman" w:cs="Times New Roman"/>
          <w:i/>
          <w:sz w:val="20"/>
          <w:szCs w:val="20"/>
        </w:rPr>
      </w:pPr>
    </w:p>
    <w:p w:rsidR="00CA6399" w:rsidRDefault="00CA6399" w:rsidP="000A398E">
      <w:pPr>
        <w:contextualSpacing/>
        <w:rPr>
          <w:rFonts w:ascii="Times New Roman" w:hAnsi="Times New Roman" w:cs="Times New Roman"/>
          <w:b/>
          <w:sz w:val="20"/>
          <w:szCs w:val="20"/>
        </w:rPr>
      </w:pPr>
      <w:r>
        <w:rPr>
          <w:rFonts w:ascii="Times New Roman" w:hAnsi="Times New Roman" w:cs="Times New Roman"/>
          <w:b/>
          <w:sz w:val="20"/>
          <w:szCs w:val="20"/>
        </w:rPr>
        <w:t>Checklist:</w:t>
      </w:r>
    </w:p>
    <w:p w:rsidR="0024146D" w:rsidRPr="006F1CAE" w:rsidRDefault="001427D4"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963107864"/>
          <w14:checkbox>
            <w14:checked w14:val="0"/>
            <w14:checkedState w14:val="2612" w14:font="MS Gothic"/>
            <w14:uncheckedState w14:val="2610" w14:font="MS Gothic"/>
          </w14:checkbox>
        </w:sdtPr>
        <w:sdtEndPr/>
        <w:sdtContent>
          <w:r w:rsidR="00B94C63" w:rsidRPr="00B94C63">
            <w:rPr>
              <w:rFonts w:ascii="MS Gothic" w:eastAsia="MS Gothic" w:hAnsi="MS Gothic" w:cs="Times New Roman" w:hint="eastAsia"/>
              <w:sz w:val="20"/>
              <w:szCs w:val="20"/>
            </w:rPr>
            <w:t>☐</w:t>
          </w:r>
        </w:sdtContent>
      </w:sdt>
      <w:r w:rsidR="00CA6399" w:rsidRPr="006F1CAE">
        <w:rPr>
          <w:rFonts w:ascii="Times New Roman" w:hAnsi="Times New Roman" w:cs="Times New Roman"/>
          <w:sz w:val="20"/>
          <w:szCs w:val="20"/>
        </w:rPr>
        <w:t xml:space="preserve">Read </w:t>
      </w:r>
      <w:r w:rsidR="00B41DD1">
        <w:rPr>
          <w:rFonts w:ascii="Times New Roman" w:hAnsi="Times New Roman" w:cs="Times New Roman"/>
          <w:sz w:val="20"/>
          <w:szCs w:val="20"/>
        </w:rPr>
        <w:t xml:space="preserve">(Material) </w:t>
      </w:r>
      <w:r w:rsidR="00CA6399" w:rsidRPr="006F1CAE">
        <w:rPr>
          <w:rFonts w:ascii="Times New Roman" w:hAnsi="Times New Roman" w:cs="Times New Roman"/>
          <w:sz w:val="20"/>
          <w:szCs w:val="20"/>
        </w:rPr>
        <w:t>Safety Data Sheets</w:t>
      </w:r>
      <w:r w:rsidR="00E857F0" w:rsidRPr="006F1CAE">
        <w:rPr>
          <w:rFonts w:ascii="Times New Roman" w:hAnsi="Times New Roman" w:cs="Times New Roman"/>
          <w:sz w:val="20"/>
          <w:szCs w:val="20"/>
        </w:rPr>
        <w:t>.</w:t>
      </w:r>
    </w:p>
    <w:p w:rsidR="00CA6399" w:rsidRPr="006F1CAE" w:rsidRDefault="001427D4"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1648974828"/>
          <w14:checkbox>
            <w14:checked w14:val="0"/>
            <w14:checkedState w14:val="2612" w14:font="MS Gothic"/>
            <w14:uncheckedState w14:val="2610" w14:font="MS Gothic"/>
          </w14:checkbox>
        </w:sdtPr>
        <w:sdtEndPr/>
        <w:sdtContent>
          <w:r w:rsidR="00CA6399" w:rsidRPr="006F1CAE">
            <w:rPr>
              <w:rFonts w:ascii="MS Gothic" w:eastAsia="MS Gothic" w:hAnsi="MS Gothic" w:cs="Times New Roman" w:hint="eastAsia"/>
              <w:sz w:val="20"/>
              <w:szCs w:val="20"/>
            </w:rPr>
            <w:t>☐</w:t>
          </w:r>
        </w:sdtContent>
      </w:sdt>
      <w:r w:rsidR="00CA6399" w:rsidRPr="006F1CAE">
        <w:rPr>
          <w:rFonts w:ascii="Times New Roman" w:hAnsi="Times New Roman" w:cs="Times New Roman"/>
          <w:sz w:val="20"/>
          <w:szCs w:val="20"/>
        </w:rPr>
        <w:t>Another researcher is nearby</w:t>
      </w:r>
      <w:r w:rsidR="006A1AB1">
        <w:rPr>
          <w:rFonts w:ascii="Times New Roman" w:hAnsi="Times New Roman" w:cs="Times New Roman"/>
          <w:sz w:val="20"/>
          <w:szCs w:val="20"/>
        </w:rPr>
        <w:t xml:space="preserve"> or within sight</w:t>
      </w:r>
      <w:r w:rsidR="00CA6399" w:rsidRPr="006F1CAE">
        <w:rPr>
          <w:rFonts w:ascii="Times New Roman" w:hAnsi="Times New Roman" w:cs="Times New Roman"/>
          <w:sz w:val="20"/>
          <w:szCs w:val="20"/>
        </w:rPr>
        <w:t xml:space="preserve"> and knows the hazards present.</w:t>
      </w:r>
    </w:p>
    <w:p w:rsidR="006F1CAE" w:rsidRDefault="001427D4" w:rsidP="006F1CAE">
      <w:pPr>
        <w:pBdr>
          <w:top w:val="single" w:sz="4" w:space="1" w:color="auto"/>
          <w:left w:val="single" w:sz="4" w:space="4" w:color="auto"/>
          <w:bottom w:val="single" w:sz="4" w:space="1" w:color="auto"/>
          <w:right w:val="single" w:sz="4" w:space="4" w:color="auto"/>
        </w:pBdr>
        <w:tabs>
          <w:tab w:val="left" w:pos="1350"/>
        </w:tabs>
        <w:ind w:left="720"/>
        <w:contextualSpacing/>
        <w:rPr>
          <w:rFonts w:ascii="Times New Roman" w:hAnsi="Times New Roman" w:cs="Times New Roman"/>
          <w:sz w:val="20"/>
          <w:szCs w:val="20"/>
        </w:rPr>
      </w:pPr>
      <w:sdt>
        <w:sdtPr>
          <w:rPr>
            <w:rFonts w:ascii="Times New Roman" w:hAnsi="Times New Roman" w:cs="Times New Roman"/>
            <w:sz w:val="20"/>
            <w:szCs w:val="20"/>
          </w:rPr>
          <w:id w:val="823094234"/>
          <w14:checkbox>
            <w14:checked w14:val="0"/>
            <w14:checkedState w14:val="2612" w14:font="MS Gothic"/>
            <w14:uncheckedState w14:val="2610" w14:font="MS Gothic"/>
          </w14:checkbox>
        </w:sdtPr>
        <w:sdtEndPr/>
        <w:sdtContent>
          <w:r w:rsidR="006F1CAE">
            <w:rPr>
              <w:rFonts w:ascii="MS Gothic" w:eastAsia="MS Gothic" w:hAnsi="MS Gothic" w:cs="Times New Roman" w:hint="eastAsia"/>
              <w:sz w:val="20"/>
              <w:szCs w:val="20"/>
            </w:rPr>
            <w:t>☐</w:t>
          </w:r>
        </w:sdtContent>
      </w:sdt>
      <w:r w:rsidR="006F1CAE">
        <w:rPr>
          <w:rFonts w:ascii="Times New Roman" w:hAnsi="Times New Roman" w:cs="Times New Roman"/>
          <w:sz w:val="20"/>
          <w:szCs w:val="20"/>
        </w:rPr>
        <w:t>Additional gloves are available in case one pair becomes contaminated</w:t>
      </w:r>
      <w:r w:rsidR="009E1382">
        <w:rPr>
          <w:rFonts w:ascii="Times New Roman" w:hAnsi="Times New Roman" w:cs="Times New Roman"/>
          <w:sz w:val="20"/>
          <w:szCs w:val="20"/>
        </w:rPr>
        <w:t>.</w:t>
      </w:r>
    </w:p>
    <w:p w:rsidR="0067390C" w:rsidRPr="00B94C63" w:rsidRDefault="001427D4" w:rsidP="006F1CAE">
      <w:pPr>
        <w:pBdr>
          <w:top w:val="single" w:sz="4" w:space="1" w:color="auto"/>
          <w:left w:val="single" w:sz="4" w:space="4" w:color="auto"/>
          <w:bottom w:val="single" w:sz="4" w:space="1" w:color="auto"/>
          <w:right w:val="single" w:sz="4" w:space="4" w:color="auto"/>
        </w:pBdr>
        <w:tabs>
          <w:tab w:val="left" w:pos="1350"/>
        </w:tabs>
        <w:ind w:left="720"/>
        <w:contextualSpacing/>
        <w:rPr>
          <w:rFonts w:ascii="Times New Roman" w:hAnsi="Times New Roman" w:cs="Times New Roman"/>
          <w:sz w:val="20"/>
          <w:szCs w:val="20"/>
        </w:rPr>
      </w:pPr>
      <w:sdt>
        <w:sdtPr>
          <w:rPr>
            <w:rFonts w:ascii="Times New Roman" w:hAnsi="Times New Roman" w:cs="Times New Roman"/>
            <w:sz w:val="20"/>
            <w:szCs w:val="20"/>
          </w:rPr>
          <w:id w:val="-1498419256"/>
          <w14:checkbox>
            <w14:checked w14:val="0"/>
            <w14:checkedState w14:val="2612" w14:font="MS Gothic"/>
            <w14:uncheckedState w14:val="2610" w14:font="MS Gothic"/>
          </w14:checkbox>
        </w:sdtPr>
        <w:sdtEndPr/>
        <w:sdtContent>
          <w:r w:rsidR="006F1CAE">
            <w:rPr>
              <w:rFonts w:ascii="MS Gothic" w:eastAsia="MS Gothic" w:hAnsi="MS Gothic" w:cs="Times New Roman" w:hint="eastAsia"/>
              <w:sz w:val="20"/>
              <w:szCs w:val="20"/>
            </w:rPr>
            <w:t>☐</w:t>
          </w:r>
        </w:sdtContent>
      </w:sdt>
      <w:r w:rsidR="00354845">
        <w:rPr>
          <w:rFonts w:ascii="Times New Roman" w:hAnsi="Times New Roman" w:cs="Times New Roman"/>
          <w:sz w:val="20"/>
          <w:szCs w:val="20"/>
        </w:rPr>
        <w:t>All rinsing solvents have been poured before the pyrophoric material is used.</w:t>
      </w:r>
      <w:r w:rsidR="00D07BDD">
        <w:rPr>
          <w:rFonts w:ascii="Times New Roman" w:hAnsi="Times New Roman" w:cs="Times New Roman"/>
          <w:sz w:val="20"/>
          <w:szCs w:val="20"/>
        </w:rPr>
        <w:t xml:space="preserve"> This prevents large quantities of flammables from being inside the hood.</w:t>
      </w:r>
    </w:p>
    <w:p w:rsidR="00421527" w:rsidRDefault="00421527">
      <w:pPr>
        <w:contextualSpacing/>
        <w:rPr>
          <w:rFonts w:ascii="Times New Roman" w:hAnsi="Times New Roman" w:cs="Times New Roman"/>
          <w:b/>
          <w:sz w:val="20"/>
          <w:szCs w:val="20"/>
        </w:rPr>
      </w:pPr>
    </w:p>
    <w:p w:rsidR="00B94C63" w:rsidRDefault="00FE6224">
      <w:pPr>
        <w:contextualSpacing/>
        <w:rPr>
          <w:rFonts w:ascii="Times New Roman" w:hAnsi="Times New Roman" w:cs="Times New Roman"/>
          <w:sz w:val="20"/>
          <w:szCs w:val="20"/>
        </w:rPr>
      </w:pPr>
      <w:r>
        <w:rPr>
          <w:rFonts w:ascii="Times New Roman" w:hAnsi="Times New Roman" w:cs="Times New Roman"/>
          <w:b/>
          <w:sz w:val="20"/>
          <w:szCs w:val="20"/>
        </w:rPr>
        <w:t>References:</w:t>
      </w:r>
      <w:r>
        <w:rPr>
          <w:rFonts w:ascii="Times New Roman" w:hAnsi="Times New Roman" w:cs="Times New Roman"/>
          <w:sz w:val="20"/>
          <w:szCs w:val="20"/>
        </w:rPr>
        <w:t xml:space="preserve"> </w:t>
      </w:r>
    </w:p>
    <w:p w:rsidR="00CF7EB2" w:rsidRPr="007F7D3E" w:rsidRDefault="00F45DD4" w:rsidP="00F45DD4">
      <w:pPr>
        <w:pStyle w:val="ListParagraph"/>
        <w:numPr>
          <w:ilvl w:val="0"/>
          <w:numId w:val="4"/>
        </w:numPr>
        <w:spacing w:after="0" w:line="240" w:lineRule="auto"/>
        <w:outlineLvl w:val="2"/>
        <w:rPr>
          <w:rFonts w:ascii="Times New Roman" w:eastAsia="Times New Roman" w:hAnsi="Times New Roman" w:cs="Times New Roman"/>
          <w:i/>
          <w:iCs/>
          <w:color w:val="000000"/>
          <w:sz w:val="20"/>
          <w:szCs w:val="17"/>
        </w:rPr>
      </w:pPr>
      <w:r>
        <w:rPr>
          <w:rFonts w:ascii="Times New Roman" w:eastAsia="Times New Roman" w:hAnsi="Times New Roman" w:cs="Times New Roman"/>
          <w:iCs/>
          <w:color w:val="000000"/>
          <w:sz w:val="20"/>
          <w:szCs w:val="17"/>
        </w:rPr>
        <w:t>Handling Pyrophorics Safety Guide- DRS website</w:t>
      </w:r>
    </w:p>
    <w:p w:rsidR="007F7D3E" w:rsidRPr="00557FD4" w:rsidRDefault="007F7D3E" w:rsidP="00F45DD4">
      <w:pPr>
        <w:pStyle w:val="ListParagraph"/>
        <w:numPr>
          <w:ilvl w:val="0"/>
          <w:numId w:val="4"/>
        </w:numPr>
        <w:spacing w:after="0" w:line="240" w:lineRule="auto"/>
        <w:outlineLvl w:val="2"/>
        <w:rPr>
          <w:rFonts w:ascii="Times New Roman" w:eastAsia="Times New Roman" w:hAnsi="Times New Roman" w:cs="Times New Roman"/>
          <w:i/>
          <w:iCs/>
          <w:color w:val="000000"/>
          <w:sz w:val="20"/>
          <w:szCs w:val="17"/>
        </w:rPr>
      </w:pPr>
      <w:r>
        <w:rPr>
          <w:rFonts w:ascii="Times New Roman" w:eastAsia="Times New Roman" w:hAnsi="Times New Roman" w:cs="Times New Roman"/>
          <w:iCs/>
          <w:color w:val="000000"/>
          <w:sz w:val="20"/>
          <w:szCs w:val="17"/>
        </w:rPr>
        <w:t>Lin,</w:t>
      </w:r>
      <w:r w:rsidR="00671E19">
        <w:rPr>
          <w:rFonts w:ascii="Times New Roman" w:eastAsia="Times New Roman" w:hAnsi="Times New Roman" w:cs="Times New Roman"/>
          <w:iCs/>
          <w:color w:val="000000"/>
          <w:sz w:val="20"/>
          <w:szCs w:val="17"/>
        </w:rPr>
        <w:t xml:space="preserve"> H-S.;</w:t>
      </w:r>
      <w:r>
        <w:rPr>
          <w:rFonts w:ascii="Times New Roman" w:eastAsia="Times New Roman" w:hAnsi="Times New Roman" w:cs="Times New Roman"/>
          <w:iCs/>
          <w:color w:val="000000"/>
          <w:sz w:val="20"/>
          <w:szCs w:val="17"/>
        </w:rPr>
        <w:t xml:space="preserve"> Paquette</w:t>
      </w:r>
      <w:r w:rsidR="00671E19">
        <w:rPr>
          <w:rFonts w:ascii="Times New Roman" w:eastAsia="Times New Roman" w:hAnsi="Times New Roman" w:cs="Times New Roman"/>
          <w:iCs/>
          <w:color w:val="000000"/>
          <w:sz w:val="20"/>
          <w:szCs w:val="17"/>
        </w:rPr>
        <w:t>,  L. A.</w:t>
      </w:r>
      <w:r>
        <w:rPr>
          <w:rFonts w:ascii="Times New Roman" w:eastAsia="Times New Roman" w:hAnsi="Times New Roman" w:cs="Times New Roman"/>
          <w:iCs/>
          <w:color w:val="000000"/>
          <w:sz w:val="20"/>
          <w:szCs w:val="17"/>
        </w:rPr>
        <w:t xml:space="preserve"> </w:t>
      </w:r>
      <w:r w:rsidRPr="007F7D3E">
        <w:rPr>
          <w:rFonts w:ascii="Times New Roman" w:eastAsia="Times New Roman" w:hAnsi="Times New Roman" w:cs="Times New Roman"/>
          <w:i/>
          <w:iCs/>
          <w:color w:val="000000"/>
          <w:sz w:val="20"/>
          <w:szCs w:val="17"/>
        </w:rPr>
        <w:t>Synth. Commun.</w:t>
      </w:r>
      <w:r>
        <w:rPr>
          <w:rFonts w:ascii="Times New Roman" w:eastAsia="Times New Roman" w:hAnsi="Times New Roman" w:cs="Times New Roman"/>
          <w:b/>
          <w:iCs/>
          <w:color w:val="000000"/>
          <w:sz w:val="20"/>
          <w:szCs w:val="17"/>
        </w:rPr>
        <w:t>1994</w:t>
      </w:r>
      <w:r>
        <w:rPr>
          <w:rFonts w:ascii="Times New Roman" w:eastAsia="Times New Roman" w:hAnsi="Times New Roman" w:cs="Times New Roman"/>
          <w:iCs/>
          <w:color w:val="000000"/>
          <w:sz w:val="20"/>
          <w:szCs w:val="17"/>
        </w:rPr>
        <w:t xml:space="preserve">, </w:t>
      </w:r>
      <w:r>
        <w:rPr>
          <w:rFonts w:ascii="Times New Roman" w:eastAsia="Times New Roman" w:hAnsi="Times New Roman" w:cs="Times New Roman"/>
          <w:i/>
          <w:iCs/>
          <w:color w:val="000000"/>
          <w:sz w:val="20"/>
          <w:szCs w:val="17"/>
        </w:rPr>
        <w:t>24</w:t>
      </w:r>
      <w:r>
        <w:rPr>
          <w:rFonts w:ascii="Times New Roman" w:eastAsia="Times New Roman" w:hAnsi="Times New Roman" w:cs="Times New Roman"/>
          <w:iCs/>
          <w:color w:val="000000"/>
          <w:sz w:val="20"/>
          <w:szCs w:val="17"/>
        </w:rPr>
        <w:t>, 2503.</w:t>
      </w:r>
    </w:p>
    <w:p w:rsidR="0067390C" w:rsidRPr="00E857F0" w:rsidRDefault="006F1CAE" w:rsidP="006F1CAE">
      <w:pPr>
        <w:ind w:firstLine="720"/>
        <w:contextualSpacing/>
        <w:rPr>
          <w:rFonts w:ascii="Times New Roman" w:hAnsi="Times New Roman" w:cs="Times New Roman"/>
          <w:b/>
          <w:i/>
          <w:sz w:val="20"/>
          <w:szCs w:val="20"/>
        </w:rPr>
      </w:pPr>
      <w:r w:rsidRPr="006F1CAE">
        <w:rPr>
          <w:rFonts w:ascii="Arial" w:eastAsia="Times New Roman" w:hAnsi="Arial" w:cs="Arial"/>
          <w:color w:val="000000"/>
          <w:sz w:val="17"/>
          <w:szCs w:val="17"/>
        </w:rPr>
        <w:t> </w:t>
      </w:r>
      <w:r w:rsidR="0067390C" w:rsidRPr="00E857F0">
        <w:rPr>
          <w:rFonts w:ascii="Times New Roman" w:hAnsi="Times New Roman" w:cs="Times New Roman"/>
          <w:i/>
          <w:sz w:val="20"/>
          <w:szCs w:val="20"/>
        </w:rPr>
        <w:br w:type="page"/>
      </w:r>
    </w:p>
    <w:p w:rsidR="0067390C" w:rsidRDefault="0067390C" w:rsidP="000A398E">
      <w:pPr>
        <w:contextualSpacing/>
        <w:rPr>
          <w:rFonts w:ascii="Times New Roman" w:hAnsi="Times New Roman" w:cs="Times New Roman"/>
          <w:sz w:val="20"/>
          <w:szCs w:val="20"/>
        </w:rPr>
      </w:pPr>
    </w:p>
    <w:p w:rsidR="0067390C" w:rsidRDefault="0067390C" w:rsidP="000A398E">
      <w:pPr>
        <w:contextualSpacing/>
        <w:rPr>
          <w:rFonts w:ascii="Times New Roman" w:hAnsi="Times New Roman" w:cs="Times New Roman"/>
          <w:b/>
          <w:sz w:val="20"/>
          <w:szCs w:val="20"/>
        </w:rPr>
      </w:pPr>
      <w:r>
        <w:rPr>
          <w:rFonts w:ascii="Times New Roman" w:hAnsi="Times New Roman" w:cs="Times New Roman"/>
          <w:b/>
          <w:sz w:val="20"/>
          <w:szCs w:val="20"/>
        </w:rPr>
        <w:t>Training Documentation</w:t>
      </w:r>
    </w:p>
    <w:p w:rsidR="0067390C" w:rsidRDefault="0067390C" w:rsidP="000A398E">
      <w:pPr>
        <w:contextualSpacing/>
        <w:rPr>
          <w:rFonts w:ascii="Times New Roman" w:hAnsi="Times New Roman" w:cs="Times New Roman"/>
          <w:sz w:val="20"/>
          <w:szCs w:val="20"/>
        </w:rPr>
      </w:pPr>
      <w:r>
        <w:rPr>
          <w:rFonts w:ascii="Times New Roman" w:hAnsi="Times New Roman" w:cs="Times New Roman"/>
          <w:sz w:val="20"/>
          <w:szCs w:val="20"/>
        </w:rPr>
        <w:t>Signing this document means that you have read and understand all aspects of this Standard Operating Procedure.</w:t>
      </w:r>
    </w:p>
    <w:p w:rsidR="0051117D" w:rsidRDefault="0051117D" w:rsidP="000A398E">
      <w:pPr>
        <w:contextualSpacing/>
        <w:rPr>
          <w:rFonts w:ascii="Times New Roman" w:hAnsi="Times New Roman" w:cs="Times New Roman"/>
          <w:sz w:val="20"/>
          <w:szCs w:val="20"/>
        </w:rPr>
      </w:pPr>
      <w:r>
        <w:rPr>
          <w:rFonts w:ascii="Times New Roman" w:hAnsi="Times New Roman" w:cs="Times New Roman"/>
          <w:sz w:val="20"/>
          <w:szCs w:val="20"/>
        </w:rPr>
        <w:t>The supervisor is the person that acknowledges you took the training and understand the procedure. They can be a lab manager or researcher assigned by the PI to oversee this particular SOP.</w:t>
      </w:r>
    </w:p>
    <w:tbl>
      <w:tblPr>
        <w:tblStyle w:val="TableGrid"/>
        <w:tblW w:w="0" w:type="auto"/>
        <w:tblLook w:val="04A0" w:firstRow="1" w:lastRow="0" w:firstColumn="1" w:lastColumn="0" w:noHBand="0" w:noVBand="1"/>
      </w:tblPr>
      <w:tblGrid>
        <w:gridCol w:w="2491"/>
        <w:gridCol w:w="2470"/>
        <w:gridCol w:w="2245"/>
        <w:gridCol w:w="2370"/>
      </w:tblGrid>
      <w:tr w:rsidR="0051117D" w:rsidTr="0051117D">
        <w:tc>
          <w:tcPr>
            <w:tcW w:w="2491"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Name (Printed)</w:t>
            </w:r>
          </w:p>
        </w:tc>
        <w:tc>
          <w:tcPr>
            <w:tcW w:w="2470"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Name (Signed)</w:t>
            </w:r>
          </w:p>
        </w:tc>
        <w:tc>
          <w:tcPr>
            <w:tcW w:w="2245" w:type="dxa"/>
          </w:tcPr>
          <w:p w:rsidR="0051117D" w:rsidRPr="0067390C" w:rsidRDefault="0051117D" w:rsidP="0067390C">
            <w:pPr>
              <w:contextualSpacing/>
              <w:jc w:val="center"/>
              <w:rPr>
                <w:rFonts w:ascii="Times New Roman" w:hAnsi="Times New Roman" w:cs="Times New Roman"/>
                <w:b/>
                <w:sz w:val="20"/>
                <w:szCs w:val="20"/>
              </w:rPr>
            </w:pPr>
            <w:r>
              <w:rPr>
                <w:rFonts w:ascii="Times New Roman" w:hAnsi="Times New Roman" w:cs="Times New Roman"/>
                <w:b/>
                <w:sz w:val="20"/>
                <w:szCs w:val="20"/>
              </w:rPr>
              <w:t>Supervisor</w:t>
            </w:r>
          </w:p>
        </w:tc>
        <w:tc>
          <w:tcPr>
            <w:tcW w:w="2370"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Date</w:t>
            </w: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bl>
    <w:p w:rsidR="00CA6399" w:rsidRPr="00CA6399" w:rsidRDefault="00CA6399" w:rsidP="000A398E">
      <w:pPr>
        <w:contextualSpacing/>
        <w:rPr>
          <w:rFonts w:ascii="Times New Roman" w:hAnsi="Times New Roman" w:cs="Times New Roman"/>
          <w:sz w:val="20"/>
          <w:szCs w:val="20"/>
        </w:rPr>
      </w:pPr>
    </w:p>
    <w:sectPr w:rsidR="00CA6399" w:rsidRPr="00CA639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7F" w:rsidRDefault="00FD0D7F" w:rsidP="00CB2707">
      <w:pPr>
        <w:spacing w:after="0" w:line="240" w:lineRule="auto"/>
      </w:pPr>
      <w:r>
        <w:separator/>
      </w:r>
    </w:p>
  </w:endnote>
  <w:endnote w:type="continuationSeparator" w:id="0">
    <w:p w:rsidR="00FD0D7F" w:rsidRDefault="00FD0D7F" w:rsidP="00CB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7F" w:rsidRDefault="00FD0D7F" w:rsidP="00CB2707">
      <w:pPr>
        <w:spacing w:after="0" w:line="240" w:lineRule="auto"/>
      </w:pPr>
      <w:r>
        <w:separator/>
      </w:r>
    </w:p>
  </w:footnote>
  <w:footnote w:type="continuationSeparator" w:id="0">
    <w:p w:rsidR="00FD0D7F" w:rsidRDefault="00FD0D7F" w:rsidP="00CB2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7F" w:rsidRDefault="001427D4" w:rsidP="00CB2707">
    <w:pPr>
      <w:pStyle w:val="Header"/>
      <w:jc w:val="right"/>
    </w:pPr>
    <w:sdt>
      <w:sdtPr>
        <w:id w:val="-168343147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84"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D0D7F">
      <w:t xml:space="preserve">Title: </w:t>
    </w:r>
    <w:sdt>
      <w:sdtPr>
        <w:id w:val="-1753576131"/>
        <w:placeholder>
          <w:docPart w:val="DefaultPlaceholder_1082065158"/>
        </w:placeholder>
      </w:sdtPr>
      <w:sdtEndPr/>
      <w:sdtContent>
        <w:r w:rsidR="004A7178">
          <w:t>Titration of n-</w:t>
        </w:r>
        <w:proofErr w:type="spellStart"/>
        <w:r w:rsidR="004A7178">
          <w:t>BuLi</w:t>
        </w:r>
        <w:proofErr w:type="spellEnd"/>
      </w:sdtContent>
    </w:sdt>
  </w:p>
  <w:p w:rsidR="00FD0D7F" w:rsidRDefault="00FD0D7F" w:rsidP="00CB2707">
    <w:pPr>
      <w:pStyle w:val="Header"/>
      <w:jc w:val="right"/>
    </w:pPr>
    <w:r>
      <w:t>SOP ID #:</w:t>
    </w:r>
    <w:sdt>
      <w:sdtPr>
        <w:id w:val="564306167"/>
        <w:placeholder>
          <w:docPart w:val="DefaultPlaceholder_1082065158"/>
        </w:placeholder>
      </w:sdtPr>
      <w:sdtEndPr/>
      <w:sdtContent>
        <w:r w:rsidR="00464434">
          <w:t>000</w:t>
        </w:r>
        <w:r w:rsidR="00843D58">
          <w:t>1</w:t>
        </w:r>
      </w:sdtContent>
    </w:sdt>
  </w:p>
  <w:p w:rsidR="00FD0D7F" w:rsidRDefault="00FD0D7F" w:rsidP="00CB2707">
    <w:pPr>
      <w:pStyle w:val="Header"/>
      <w:jc w:val="right"/>
    </w:pPr>
    <w:r>
      <w:t>Revision #:</w:t>
    </w:r>
    <w:sdt>
      <w:sdtPr>
        <w:id w:val="-1789184783"/>
        <w:placeholder>
          <w:docPart w:val="DefaultPlaceholder_1082065158"/>
        </w:placeholder>
      </w:sdtPr>
      <w:sdtEndPr/>
      <w:sdtContent>
        <w:r w:rsidR="00464434">
          <w:t>1</w:t>
        </w:r>
      </w:sdtContent>
    </w:sdt>
  </w:p>
  <w:p w:rsidR="00FD0D7F" w:rsidRDefault="00FD0D7F" w:rsidP="00CB2707">
    <w:pPr>
      <w:pStyle w:val="Header"/>
      <w:jc w:val="right"/>
    </w:pPr>
    <w:r>
      <w:t>Date:</w:t>
    </w:r>
    <w:r w:rsidR="00464434">
      <w:t xml:space="preserve"> </w:t>
    </w:r>
    <w:sdt>
      <w:sdtPr>
        <w:id w:val="1329169070"/>
        <w:placeholder>
          <w:docPart w:val="DefaultPlaceholder_1082065158"/>
        </w:placeholder>
      </w:sdtPr>
      <w:sdtEndPr/>
      <w:sdtContent>
        <w:r w:rsidR="003417D5">
          <w:t>May 10</w:t>
        </w:r>
        <w:r w:rsidR="00464434">
          <w:t>, 2014</w:t>
        </w:r>
      </w:sdtContent>
    </w:sdt>
  </w:p>
  <w:p w:rsidR="00FD0D7F" w:rsidRDefault="00FD0D7F">
    <w:pPr>
      <w:pStyle w:val="Header"/>
    </w:pPr>
    <w:r>
      <w:tab/>
    </w:r>
    <w:r>
      <w:tab/>
      <w:t xml:space="preserve">Page </w:t>
    </w:r>
    <w:r>
      <w:rPr>
        <w:b/>
      </w:rPr>
      <w:fldChar w:fldCharType="begin"/>
    </w:r>
    <w:r>
      <w:rPr>
        <w:b/>
      </w:rPr>
      <w:instrText xml:space="preserve"> PAGE  \* Arabic  \* MERGEFORMAT </w:instrText>
    </w:r>
    <w:r>
      <w:rPr>
        <w:b/>
      </w:rPr>
      <w:fldChar w:fldCharType="separate"/>
    </w:r>
    <w:r w:rsidR="001427D4">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1427D4">
      <w:rPr>
        <w:b/>
        <w:noProof/>
      </w:rPr>
      <w:t>4</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919EC"/>
    <w:multiLevelType w:val="hybridMultilevel"/>
    <w:tmpl w:val="F09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6968F2"/>
    <w:multiLevelType w:val="hybridMultilevel"/>
    <w:tmpl w:val="416A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A2E32"/>
    <w:multiLevelType w:val="hybridMultilevel"/>
    <w:tmpl w:val="D0667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567609B"/>
    <w:multiLevelType w:val="hybridMultilevel"/>
    <w:tmpl w:val="416AFE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85"/>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07"/>
    <w:rsid w:val="00025E33"/>
    <w:rsid w:val="000A1DD4"/>
    <w:rsid w:val="000A398E"/>
    <w:rsid w:val="000A6C4A"/>
    <w:rsid w:val="000C5920"/>
    <w:rsid w:val="000D1D00"/>
    <w:rsid w:val="0013213C"/>
    <w:rsid w:val="001427D4"/>
    <w:rsid w:val="00165DD6"/>
    <w:rsid w:val="00184B8E"/>
    <w:rsid w:val="00223903"/>
    <w:rsid w:val="0024146D"/>
    <w:rsid w:val="002427BC"/>
    <w:rsid w:val="00275693"/>
    <w:rsid w:val="0029202B"/>
    <w:rsid w:val="002B2C3D"/>
    <w:rsid w:val="002D7E27"/>
    <w:rsid w:val="002E1349"/>
    <w:rsid w:val="00304479"/>
    <w:rsid w:val="00324B6C"/>
    <w:rsid w:val="003417D5"/>
    <w:rsid w:val="00354845"/>
    <w:rsid w:val="0036040E"/>
    <w:rsid w:val="003679EA"/>
    <w:rsid w:val="00380CD2"/>
    <w:rsid w:val="003860C0"/>
    <w:rsid w:val="003B5605"/>
    <w:rsid w:val="003E4802"/>
    <w:rsid w:val="00407B2A"/>
    <w:rsid w:val="00421527"/>
    <w:rsid w:val="004471BC"/>
    <w:rsid w:val="00464434"/>
    <w:rsid w:val="00465F09"/>
    <w:rsid w:val="00476F98"/>
    <w:rsid w:val="004A7178"/>
    <w:rsid w:val="004C726C"/>
    <w:rsid w:val="004C7E8C"/>
    <w:rsid w:val="004D0F0D"/>
    <w:rsid w:val="004E2EE2"/>
    <w:rsid w:val="004F6B0B"/>
    <w:rsid w:val="004F7740"/>
    <w:rsid w:val="0051117D"/>
    <w:rsid w:val="00557FD4"/>
    <w:rsid w:val="005C16A7"/>
    <w:rsid w:val="005C6F4B"/>
    <w:rsid w:val="005D35E8"/>
    <w:rsid w:val="00671E19"/>
    <w:rsid w:val="0067390C"/>
    <w:rsid w:val="006A0264"/>
    <w:rsid w:val="006A1AB1"/>
    <w:rsid w:val="006E4A27"/>
    <w:rsid w:val="006F1CAE"/>
    <w:rsid w:val="006F69B2"/>
    <w:rsid w:val="00734620"/>
    <w:rsid w:val="00742C8E"/>
    <w:rsid w:val="00744C0B"/>
    <w:rsid w:val="00755F6B"/>
    <w:rsid w:val="00775EF4"/>
    <w:rsid w:val="00783BC2"/>
    <w:rsid w:val="007944F5"/>
    <w:rsid w:val="00795512"/>
    <w:rsid w:val="007F2AAA"/>
    <w:rsid w:val="007F7D3E"/>
    <w:rsid w:val="008256BB"/>
    <w:rsid w:val="00843D58"/>
    <w:rsid w:val="00873D21"/>
    <w:rsid w:val="009A23FD"/>
    <w:rsid w:val="009E1382"/>
    <w:rsid w:val="009F4F92"/>
    <w:rsid w:val="00A34A88"/>
    <w:rsid w:val="00A437E7"/>
    <w:rsid w:val="00A75848"/>
    <w:rsid w:val="00A75A7E"/>
    <w:rsid w:val="00AA0EEF"/>
    <w:rsid w:val="00AB2FBF"/>
    <w:rsid w:val="00AC100C"/>
    <w:rsid w:val="00B11E1B"/>
    <w:rsid w:val="00B318A5"/>
    <w:rsid w:val="00B33702"/>
    <w:rsid w:val="00B41DD1"/>
    <w:rsid w:val="00B5024A"/>
    <w:rsid w:val="00B55E64"/>
    <w:rsid w:val="00B75666"/>
    <w:rsid w:val="00B76E5E"/>
    <w:rsid w:val="00B94C63"/>
    <w:rsid w:val="00BC1870"/>
    <w:rsid w:val="00C00FDC"/>
    <w:rsid w:val="00C84513"/>
    <w:rsid w:val="00CA6399"/>
    <w:rsid w:val="00CB2707"/>
    <w:rsid w:val="00CC55AD"/>
    <w:rsid w:val="00CF418E"/>
    <w:rsid w:val="00CF7EB2"/>
    <w:rsid w:val="00D07BDD"/>
    <w:rsid w:val="00D54F2A"/>
    <w:rsid w:val="00D644B6"/>
    <w:rsid w:val="00D6785E"/>
    <w:rsid w:val="00D813A4"/>
    <w:rsid w:val="00D82B48"/>
    <w:rsid w:val="00DE77AE"/>
    <w:rsid w:val="00E01399"/>
    <w:rsid w:val="00E122C9"/>
    <w:rsid w:val="00E23FF7"/>
    <w:rsid w:val="00E36BCE"/>
    <w:rsid w:val="00E72AC4"/>
    <w:rsid w:val="00E85452"/>
    <w:rsid w:val="00E857F0"/>
    <w:rsid w:val="00EE721C"/>
    <w:rsid w:val="00F01217"/>
    <w:rsid w:val="00F0471E"/>
    <w:rsid w:val="00F32134"/>
    <w:rsid w:val="00F45DD4"/>
    <w:rsid w:val="00FD0D7F"/>
    <w:rsid w:val="00FE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1C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07"/>
  </w:style>
  <w:style w:type="paragraph" w:styleId="Footer">
    <w:name w:val="footer"/>
    <w:basedOn w:val="Normal"/>
    <w:link w:val="FooterChar"/>
    <w:uiPriority w:val="99"/>
    <w:unhideWhenUsed/>
    <w:rsid w:val="00CB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07"/>
  </w:style>
  <w:style w:type="paragraph" w:styleId="BalloonText">
    <w:name w:val="Balloon Text"/>
    <w:basedOn w:val="Normal"/>
    <w:link w:val="BalloonTextChar"/>
    <w:uiPriority w:val="99"/>
    <w:semiHidden/>
    <w:unhideWhenUsed/>
    <w:rsid w:val="00CB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707"/>
    <w:rPr>
      <w:rFonts w:ascii="Tahoma" w:hAnsi="Tahoma" w:cs="Tahoma"/>
      <w:sz w:val="16"/>
      <w:szCs w:val="16"/>
    </w:rPr>
  </w:style>
  <w:style w:type="character" w:styleId="PlaceholderText">
    <w:name w:val="Placeholder Text"/>
    <w:basedOn w:val="DefaultParagraphFont"/>
    <w:uiPriority w:val="99"/>
    <w:semiHidden/>
    <w:rsid w:val="00CB2707"/>
    <w:rPr>
      <w:color w:val="808080"/>
    </w:rPr>
  </w:style>
  <w:style w:type="table" w:styleId="TableGrid">
    <w:name w:val="Table Grid"/>
    <w:basedOn w:val="TableNormal"/>
    <w:uiPriority w:val="59"/>
    <w:rsid w:val="005C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1E"/>
    <w:pPr>
      <w:ind w:left="720"/>
      <w:contextualSpacing/>
    </w:pPr>
  </w:style>
  <w:style w:type="character" w:styleId="Strong">
    <w:name w:val="Strong"/>
    <w:basedOn w:val="DefaultParagraphFont"/>
    <w:uiPriority w:val="22"/>
    <w:qFormat/>
    <w:rsid w:val="00C84513"/>
    <w:rPr>
      <w:b/>
      <w:bCs/>
    </w:rPr>
  </w:style>
  <w:style w:type="character" w:customStyle="1" w:styleId="Heading3Char">
    <w:name w:val="Heading 3 Char"/>
    <w:basedOn w:val="DefaultParagraphFont"/>
    <w:link w:val="Heading3"/>
    <w:uiPriority w:val="9"/>
    <w:rsid w:val="006F1CA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F1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1C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07"/>
  </w:style>
  <w:style w:type="paragraph" w:styleId="Footer">
    <w:name w:val="footer"/>
    <w:basedOn w:val="Normal"/>
    <w:link w:val="FooterChar"/>
    <w:uiPriority w:val="99"/>
    <w:unhideWhenUsed/>
    <w:rsid w:val="00CB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07"/>
  </w:style>
  <w:style w:type="paragraph" w:styleId="BalloonText">
    <w:name w:val="Balloon Text"/>
    <w:basedOn w:val="Normal"/>
    <w:link w:val="BalloonTextChar"/>
    <w:uiPriority w:val="99"/>
    <w:semiHidden/>
    <w:unhideWhenUsed/>
    <w:rsid w:val="00CB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707"/>
    <w:rPr>
      <w:rFonts w:ascii="Tahoma" w:hAnsi="Tahoma" w:cs="Tahoma"/>
      <w:sz w:val="16"/>
      <w:szCs w:val="16"/>
    </w:rPr>
  </w:style>
  <w:style w:type="character" w:styleId="PlaceholderText">
    <w:name w:val="Placeholder Text"/>
    <w:basedOn w:val="DefaultParagraphFont"/>
    <w:uiPriority w:val="99"/>
    <w:semiHidden/>
    <w:rsid w:val="00CB2707"/>
    <w:rPr>
      <w:color w:val="808080"/>
    </w:rPr>
  </w:style>
  <w:style w:type="table" w:styleId="TableGrid">
    <w:name w:val="Table Grid"/>
    <w:basedOn w:val="TableNormal"/>
    <w:uiPriority w:val="59"/>
    <w:rsid w:val="005C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1E"/>
    <w:pPr>
      <w:ind w:left="720"/>
      <w:contextualSpacing/>
    </w:pPr>
  </w:style>
  <w:style w:type="character" w:styleId="Strong">
    <w:name w:val="Strong"/>
    <w:basedOn w:val="DefaultParagraphFont"/>
    <w:uiPriority w:val="22"/>
    <w:qFormat/>
    <w:rsid w:val="00C84513"/>
    <w:rPr>
      <w:b/>
      <w:bCs/>
    </w:rPr>
  </w:style>
  <w:style w:type="character" w:customStyle="1" w:styleId="Heading3Char">
    <w:name w:val="Heading 3 Char"/>
    <w:basedOn w:val="DefaultParagraphFont"/>
    <w:link w:val="Heading3"/>
    <w:uiPriority w:val="9"/>
    <w:rsid w:val="006F1CA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F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6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B6F4FAB-2C82-4D13-9436-644A02BF5DFF}"/>
      </w:docPartPr>
      <w:docPartBody>
        <w:p w:rsidR="009F2514" w:rsidRDefault="00B13357">
          <w:r w:rsidRPr="004B2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57"/>
    <w:rsid w:val="00223F3E"/>
    <w:rsid w:val="009F2514"/>
    <w:rsid w:val="00B13357"/>
    <w:rsid w:val="00EC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6FD14DA544D3A9EC3C0AE30F04B2D">
    <w:name w:val="05F6FD14DA544D3A9EC3C0AE30F04B2D"/>
    <w:rsid w:val="00B13357"/>
  </w:style>
  <w:style w:type="character" w:styleId="PlaceholderText">
    <w:name w:val="Placeholder Text"/>
    <w:basedOn w:val="DefaultParagraphFont"/>
    <w:uiPriority w:val="99"/>
    <w:semiHidden/>
    <w:rsid w:val="00223F3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6FD14DA544D3A9EC3C0AE30F04B2D">
    <w:name w:val="05F6FD14DA544D3A9EC3C0AE30F04B2D"/>
    <w:rsid w:val="00B13357"/>
  </w:style>
  <w:style w:type="character" w:styleId="PlaceholderText">
    <w:name w:val="Placeholder Text"/>
    <w:basedOn w:val="DefaultParagraphFont"/>
    <w:uiPriority w:val="99"/>
    <w:semiHidden/>
    <w:rsid w:val="00223F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EE9E-354A-44FE-8034-A3406EB8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Tumidajski, Stephanie</dc:creator>
  <cp:lastModifiedBy>Tumidajski, Stephanie</cp:lastModifiedBy>
  <cp:revision>11</cp:revision>
  <cp:lastPrinted>2014-03-14T16:06:00Z</cp:lastPrinted>
  <dcterms:created xsi:type="dcterms:W3CDTF">2014-04-25T13:24:00Z</dcterms:created>
  <dcterms:modified xsi:type="dcterms:W3CDTF">2014-06-23T14:12:00Z</dcterms:modified>
</cp:coreProperties>
</file>